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ersonname"/>
    <w:p w:rsidR="00346BC7" w:rsidRPr="00D37D34" w:rsidRDefault="00346BC7"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Calibri"/>
          <w:color w:val="00AB96"/>
          <w:sz w:val="16"/>
          <w:szCs w:val="16"/>
        </w:rPr>
        <w:fldChar w:fldCharType="begin">
          <w:ffData>
            <w:name w:val="Personname"/>
            <w:enabled/>
            <w:calcOnExit w:val="0"/>
            <w:exitMacro w:val="OnExitPersonname"/>
            <w:ddList>
              <w:listEntry w:val="Thomas Grothkopp"/>
              <w:listEntry w:val="André F. Kunz"/>
              <w:listEntry w:val="Doris Pietrowicz"/>
              <w:listEntry w:val="Natalie Albrecht"/>
              <w:listEntry w:val="Nora Rabah-Martelock"/>
              <w:listEntry w:val="Cathrin Klitzsch"/>
              <w:listEntry w:val="Kathrin Schnabel"/>
              <w:listEntry w:val="Imke Ide"/>
              <w:listEntry w:val="Thomas Schnabel"/>
              <w:listEntry w:val="Stefan Storch"/>
            </w:ddList>
          </w:ffData>
        </w:fldChar>
      </w:r>
      <w:r w:rsidRPr="00D37D34">
        <w:rPr>
          <w:rFonts w:ascii="MiloOT-Medi" w:hAnsi="MiloOT-Medi" w:cs="Calibri"/>
          <w:color w:val="00AB96"/>
          <w:sz w:val="16"/>
          <w:szCs w:val="16"/>
        </w:rPr>
        <w:instrText xml:space="preserve"> FORMDROPDOWN </w:instrText>
      </w:r>
      <w:r w:rsidR="00186459">
        <w:rPr>
          <w:rFonts w:ascii="MiloOT-Medi" w:hAnsi="MiloOT-Medi" w:cs="Calibri"/>
          <w:color w:val="00AB96"/>
          <w:sz w:val="16"/>
          <w:szCs w:val="16"/>
        </w:rPr>
      </w:r>
      <w:r w:rsidR="00186459">
        <w:rPr>
          <w:rFonts w:ascii="MiloOT-Medi" w:hAnsi="MiloOT-Medi" w:cs="Calibri"/>
          <w:color w:val="00AB96"/>
          <w:sz w:val="16"/>
          <w:szCs w:val="16"/>
        </w:rPr>
        <w:fldChar w:fldCharType="separate"/>
      </w:r>
      <w:r w:rsidRPr="00D37D34">
        <w:rPr>
          <w:rFonts w:ascii="MiloOT-Medi" w:hAnsi="MiloOT-Medi" w:cs="Calibri"/>
          <w:color w:val="00AB96"/>
          <w:sz w:val="16"/>
          <w:szCs w:val="16"/>
        </w:rPr>
        <w:fldChar w:fldCharType="end"/>
      </w:r>
      <w:bookmarkEnd w:id="0"/>
    </w:p>
    <w:bookmarkStart w:id="1" w:name="Personfunktion1"/>
    <w:p w:rsidR="00346BC7" w:rsidRPr="00D37D34" w:rsidRDefault="00346BC7"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listEntry w:val="Geschäftsführer"/>
              <w:listEntry w:val="Geschäftsführer"/>
              <w:listEntry w:val="Organisation"/>
              <w:listEntry w:val="Organisation"/>
              <w:listEntry w:val="Organisation"/>
              <w:listEntry w:val="Referentin"/>
              <w:listEntry w:val="Organisation"/>
              <w:listEntry w:val="Referentin"/>
              <w:listEntry w:val="Referent"/>
              <w:listEntry w:val="Geschäftsführer"/>
            </w:ddList>
          </w:ffData>
        </w:fldChar>
      </w:r>
      <w:r w:rsidRPr="00D37D34">
        <w:rPr>
          <w:rFonts w:ascii="MiloOT-Medi" w:hAnsi="MiloOT-Medi"/>
          <w:color w:val="002F5D"/>
          <w:sz w:val="16"/>
          <w:szCs w:val="16"/>
        </w:rPr>
        <w:instrText xml:space="preserve"> FORMDROPDOWN </w:instrText>
      </w:r>
      <w:r w:rsidR="00186459">
        <w:rPr>
          <w:rFonts w:ascii="MiloOT-Medi" w:hAnsi="MiloOT-Medi"/>
          <w:color w:val="002F5D"/>
          <w:sz w:val="16"/>
          <w:szCs w:val="16"/>
        </w:rPr>
      </w:r>
      <w:r w:rsidR="00186459">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bookmarkStart w:id="2" w:name="Verbandsstrasse"/>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r w:rsidRPr="00EF412A">
        <w:rPr>
          <w:rFonts w:ascii="MiloOT-Light" w:hAnsi="MiloOT-Light"/>
          <w:color w:val="002F5D"/>
          <w:sz w:val="16"/>
          <w:szCs w:val="16"/>
        </w:rPr>
        <w:instrText xml:space="preserve"> FORMDROPDOWN </w:instrText>
      </w:r>
      <w:r w:rsidR="00186459">
        <w:rPr>
          <w:rFonts w:ascii="MiloOT-Light" w:hAnsi="MiloOT-Light"/>
          <w:color w:val="002F5D"/>
          <w:sz w:val="16"/>
          <w:szCs w:val="16"/>
        </w:rPr>
      </w:r>
      <w:r w:rsidR="00186459">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Pr="00EF412A">
        <w:rPr>
          <w:rFonts w:ascii="MiloOT-Light" w:hAnsi="MiloOT-Light"/>
          <w:color w:val="002F5D"/>
          <w:sz w:val="16"/>
          <w:szCs w:val="16"/>
        </w:rPr>
        <w:instrText xml:space="preserve"> FORMDROPDOWN </w:instrText>
      </w:r>
      <w:r w:rsidR="00186459">
        <w:rPr>
          <w:rFonts w:ascii="MiloOT-Light" w:hAnsi="MiloOT-Light"/>
          <w:color w:val="002F5D"/>
          <w:sz w:val="16"/>
          <w:szCs w:val="16"/>
        </w:rPr>
      </w:r>
      <w:r w:rsidR="0018645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Pr>
          <w:rFonts w:ascii="MiloOT-Light" w:hAnsi="MiloOT-Light"/>
          <w:color w:val="002F5D"/>
          <w:sz w:val="16"/>
          <w:szCs w:val="16"/>
        </w:rPr>
        <w:t>0221/940 83-20</w:t>
      </w: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Pr>
          <w:rFonts w:ascii="MiloOT-Light" w:hAnsi="MiloOT-Light"/>
          <w:color w:val="002F5D"/>
          <w:sz w:val="16"/>
          <w:szCs w:val="16"/>
        </w:rPr>
        <w:tab/>
      </w:r>
      <w:r w:rsidRPr="00EF412A">
        <w:rPr>
          <w:rFonts w:ascii="MiloOT-Light" w:hAnsi="MiloOT-Light"/>
          <w:color w:val="002F5D"/>
          <w:sz w:val="16"/>
          <w:szCs w:val="16"/>
        </w:rPr>
        <w:fldChar w:fldCharType="begin">
          <w:ffData>
            <w:name w:val="Verbandsfax"/>
            <w:enabled w:val="0"/>
            <w:calcOnExit w:val="0"/>
            <w:ddList>
              <w:result w:val="3"/>
              <w:listEntry w:val="0221/940 83-90"/>
              <w:listEntry w:val="0221/940 83-90"/>
              <w:listEntry w:val="0221/940 83-90"/>
              <w:listEntry w:val="0221/940 83-90"/>
              <w:listEntry w:val="0221/940 83-90"/>
              <w:listEntry w:val="0221/940 83-90"/>
            </w:ddList>
          </w:ffData>
        </w:fldChar>
      </w:r>
      <w:r w:rsidRPr="00EF412A">
        <w:rPr>
          <w:rFonts w:ascii="MiloOT-Light" w:hAnsi="MiloOT-Light"/>
          <w:color w:val="002F5D"/>
          <w:sz w:val="16"/>
          <w:szCs w:val="16"/>
        </w:rPr>
        <w:instrText xml:space="preserve"> FORMDROPDOWN </w:instrText>
      </w:r>
      <w:r w:rsidR="00186459">
        <w:rPr>
          <w:rFonts w:ascii="MiloOT-Light" w:hAnsi="MiloOT-Light"/>
          <w:color w:val="002F5D"/>
          <w:sz w:val="16"/>
          <w:szCs w:val="16"/>
        </w:rPr>
      </w:r>
      <w:r w:rsidR="0018645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p>
    <w:bookmarkStart w:id="3" w:name="Personmail"/>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listEntry w:val="thomas.grothkopp@wohnenundbuero.de"/>
              <w:listEntry w:val="andre.kunz@wohnenundbuero.de"/>
              <w:listEntry w:val="doris.pietrowicz@einzelhandel.de"/>
              <w:listEntry w:val="natalie.albrecht@wohnenundbuero.de"/>
              <w:listEntry w:val="nora.rabah@wohnenundbuero.de"/>
              <w:listEntry w:val="cathrin.klitzsch@wohnenundbuero.de"/>
              <w:listEntry w:val="kathrin.schnabel@wohnenundbuero.de"/>
              <w:listEntry w:val="imke.ide@wohnenundbuero.de"/>
              <w:listEntry w:val="thomas.schnabel@wohnenundbuero.de"/>
              <w:listEntry w:val="gpk@wohnenundbuero.de"/>
            </w:ddList>
          </w:ffData>
        </w:fldChar>
      </w:r>
      <w:r>
        <w:rPr>
          <w:rFonts w:ascii="MiloOT-Light" w:hAnsi="MiloOT-Light"/>
          <w:color w:val="002F5D"/>
          <w:sz w:val="16"/>
          <w:szCs w:val="16"/>
        </w:rPr>
        <w:instrText xml:space="preserve"> FORMDROPDOWN </w:instrText>
      </w:r>
      <w:r w:rsidR="00186459">
        <w:rPr>
          <w:rFonts w:ascii="MiloOT-Light" w:hAnsi="MiloOT-Light"/>
          <w:color w:val="002F5D"/>
          <w:sz w:val="16"/>
          <w:szCs w:val="16"/>
        </w:rPr>
      </w:r>
      <w:r w:rsidR="00186459">
        <w:rPr>
          <w:rFonts w:ascii="MiloOT-Light" w:hAnsi="MiloOT-Light"/>
          <w:color w:val="002F5D"/>
          <w:sz w:val="16"/>
          <w:szCs w:val="16"/>
        </w:rPr>
        <w:fldChar w:fldCharType="separate"/>
      </w:r>
      <w:r>
        <w:rPr>
          <w:rFonts w:ascii="MiloOT-Light" w:hAnsi="MiloOT-Light"/>
          <w:color w:val="002F5D"/>
          <w:sz w:val="16"/>
          <w:szCs w:val="16"/>
        </w:rPr>
        <w:fldChar w:fldCharType="end"/>
      </w:r>
      <w:bookmarkEnd w:id="3"/>
    </w:p>
    <w:bookmarkStart w:id="4" w:name="Verbandswww"/>
    <w:p w:rsidR="00346BC7" w:rsidRDefault="00346BC7"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result w:val="3"/>
              <w:listEntry w:val="www.wohnenundbuero.de"/>
              <w:listEntry w:val="www.wohnenundbuero.de"/>
              <w:listEntry w:val="www.wohnenundbuero.de"/>
              <w:listEntry w:val="www.wohnenundbuero.de"/>
              <w:listEntry w:val="www.wohnenundbuero.de"/>
              <w:listEntry w:val="www.wohnenundbuero.de"/>
            </w:ddList>
          </w:ffData>
        </w:fldChar>
      </w:r>
      <w:r>
        <w:rPr>
          <w:rFonts w:ascii="MiloOT-Light" w:hAnsi="MiloOT-Light"/>
          <w:color w:val="002F5D"/>
          <w:sz w:val="16"/>
          <w:szCs w:val="16"/>
        </w:rPr>
        <w:instrText xml:space="preserve"> FORMDROPDOWN </w:instrText>
      </w:r>
      <w:r w:rsidR="00186459">
        <w:rPr>
          <w:rFonts w:ascii="MiloOT-Light" w:hAnsi="MiloOT-Light"/>
          <w:color w:val="002F5D"/>
          <w:sz w:val="16"/>
          <w:szCs w:val="16"/>
        </w:rPr>
      </w:r>
      <w:r w:rsidR="00186459">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p w:rsidR="00346BC7" w:rsidRPr="00517BAC" w:rsidRDefault="00A830F5" w:rsidP="001B3813">
      <w:pPr>
        <w:framePr w:w="1814" w:h="2405" w:hRule="exact" w:wrap="around" w:vAnchor="page" w:hAnchor="page" w:x="9753" w:y="1532"/>
        <w:rPr>
          <w:rFonts w:ascii="Helvetica" w:hAnsi="Helvetica"/>
          <w:b/>
          <w:sz w:val="48"/>
          <w:szCs w:val="48"/>
        </w:rPr>
      </w:pPr>
      <w:r>
        <w:rPr>
          <w:noProof/>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510" cy="734695"/>
            <wp:effectExtent l="0" t="0" r="0" b="0"/>
            <wp:wrapNone/>
            <wp:docPr id="2" name="Grafik 1" descr="T:\VORLAGEN\GPK_A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VORLAGEN\GPK_AD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7510" cy="734695"/>
                    </a:xfrm>
                    <a:prstGeom prst="rect">
                      <a:avLst/>
                    </a:prstGeom>
                    <a:noFill/>
                  </pic:spPr>
                </pic:pic>
              </a:graphicData>
            </a:graphic>
            <wp14:sizeRelH relativeFrom="page">
              <wp14:pctWidth>0</wp14:pctWidth>
            </wp14:sizeRelH>
            <wp14:sizeRelV relativeFrom="page">
              <wp14:pctHeight>0</wp14:pctHeight>
            </wp14:sizeRelV>
          </wp:anchor>
        </w:drawing>
      </w:r>
    </w:p>
    <w:p w:rsidR="00346BC7" w:rsidRPr="00BC3231" w:rsidRDefault="00346BC7" w:rsidP="00DD75CD">
      <w:pPr>
        <w:rPr>
          <w:rFonts w:ascii="MiloOT-Medi" w:hAnsi="MiloOT-Medi"/>
          <w:b/>
          <w:noProof/>
          <w:sz w:val="40"/>
          <w:szCs w:val="40"/>
        </w:rPr>
      </w:pPr>
      <w:r w:rsidRPr="00BC3231">
        <w:rPr>
          <w:rFonts w:ascii="MiloOT-Medi" w:hAnsi="MiloOT-Medi"/>
          <w:b/>
          <w:noProof/>
          <w:sz w:val="40"/>
          <w:szCs w:val="40"/>
        </w:rPr>
        <w:t>Pressemeldung</w:t>
      </w:r>
    </w:p>
    <w:p w:rsidR="00346BC7" w:rsidRDefault="00346BC7" w:rsidP="00567C1E">
      <w:pPr>
        <w:rPr>
          <w:rFonts w:ascii="MiloOT-Medi" w:hAnsi="MiloOT-Medi"/>
          <w:b/>
          <w:sz w:val="16"/>
          <w:szCs w:val="16"/>
        </w:rPr>
      </w:pPr>
    </w:p>
    <w:p w:rsidR="00346BC7" w:rsidRDefault="00346BC7" w:rsidP="00567C1E">
      <w:pPr>
        <w:rPr>
          <w:rFonts w:ascii="MiloOT-Medi" w:hAnsi="MiloOT-Medi"/>
          <w:b/>
          <w:color w:val="E36C0A"/>
          <w:sz w:val="16"/>
          <w:szCs w:val="16"/>
        </w:rPr>
        <w:sectPr w:rsidR="00346BC7" w:rsidSect="00967899">
          <w:pgSz w:w="11906" w:h="16838" w:code="9"/>
          <w:pgMar w:top="1418" w:right="1418" w:bottom="1134" w:left="1304" w:header="709" w:footer="709" w:gutter="0"/>
          <w:paperSrc w:first="7"/>
          <w:cols w:space="720"/>
          <w:titlePg/>
          <w:docGrid w:linePitch="272"/>
        </w:sectPr>
      </w:pPr>
    </w:p>
    <w:p w:rsidR="00346BC7" w:rsidRDefault="00346BC7" w:rsidP="00961213">
      <w:pPr>
        <w:spacing w:after="120" w:line="280" w:lineRule="exact"/>
        <w:ind w:right="-29"/>
        <w:rPr>
          <w:sz w:val="21"/>
          <w:szCs w:val="21"/>
        </w:rPr>
      </w:pPr>
      <w:r>
        <w:rPr>
          <w:sz w:val="21"/>
          <w:szCs w:val="21"/>
        </w:rPr>
        <w:t xml:space="preserve">Frankfurt/Main, </w:t>
      </w:r>
      <w:r w:rsidR="00961213">
        <w:rPr>
          <w:sz w:val="21"/>
          <w:szCs w:val="21"/>
        </w:rPr>
        <w:t>0</w:t>
      </w:r>
      <w:r w:rsidR="00ED6B96">
        <w:rPr>
          <w:sz w:val="21"/>
          <w:szCs w:val="21"/>
        </w:rPr>
        <w:t>8. Februar 2019</w:t>
      </w:r>
    </w:p>
    <w:p w:rsidR="00961213" w:rsidRDefault="00961213" w:rsidP="00961213">
      <w:pPr>
        <w:spacing w:after="120" w:line="280" w:lineRule="exact"/>
        <w:ind w:right="-29"/>
        <w:rPr>
          <w:b/>
        </w:rPr>
      </w:pPr>
    </w:p>
    <w:p w:rsidR="00346BC7" w:rsidRDefault="00346BC7" w:rsidP="00567C1E">
      <w:pPr>
        <w:rPr>
          <w:b/>
        </w:rPr>
        <w:sectPr w:rsidR="00346BC7" w:rsidSect="00967899">
          <w:type w:val="continuous"/>
          <w:pgSz w:w="11906" w:h="16838" w:code="9"/>
          <w:pgMar w:top="1418" w:right="1418" w:bottom="1134" w:left="1304" w:header="709" w:footer="709" w:gutter="0"/>
          <w:paperSrc w:first="7"/>
          <w:cols w:space="720"/>
        </w:sectPr>
      </w:pPr>
    </w:p>
    <w:p w:rsidR="00346BC7" w:rsidRPr="005C2923" w:rsidRDefault="00346BC7" w:rsidP="00DD75CD">
      <w:pPr>
        <w:spacing w:after="120" w:line="300" w:lineRule="exact"/>
        <w:ind w:right="-28"/>
        <w:rPr>
          <w:b/>
          <w:sz w:val="24"/>
          <w:szCs w:val="21"/>
        </w:rPr>
      </w:pPr>
      <w:bookmarkStart w:id="5" w:name="Anschrift"/>
      <w:bookmarkEnd w:id="5"/>
      <w:r w:rsidRPr="00186459">
        <w:rPr>
          <w:b/>
          <w:sz w:val="24"/>
          <w:szCs w:val="21"/>
        </w:rPr>
        <w:t>Neue</w:t>
      </w:r>
      <w:r w:rsidR="00186459" w:rsidRPr="00186459">
        <w:rPr>
          <w:b/>
          <w:sz w:val="24"/>
          <w:szCs w:val="21"/>
        </w:rPr>
        <w:t>, bewusste Ernährung führt zu veränderten Küchenausstattungen</w:t>
      </w:r>
    </w:p>
    <w:p w:rsidR="00346BC7" w:rsidRPr="005C2923" w:rsidRDefault="00346BC7" w:rsidP="00F71684">
      <w:pPr>
        <w:spacing w:before="120" w:line="360" w:lineRule="auto"/>
        <w:ind w:right="-28"/>
        <w:rPr>
          <w:b/>
          <w:sz w:val="21"/>
          <w:szCs w:val="21"/>
        </w:rPr>
      </w:pPr>
      <w:r w:rsidRPr="005C2923">
        <w:rPr>
          <w:b/>
          <w:sz w:val="21"/>
          <w:szCs w:val="21"/>
        </w:rPr>
        <w:t>Stabile Nachfrage mit Verschiebungen zwischen den Sortimenten</w:t>
      </w:r>
    </w:p>
    <w:p w:rsidR="00B92B11" w:rsidRDefault="000C43B5" w:rsidP="00F71684">
      <w:pPr>
        <w:spacing w:before="120" w:line="360" w:lineRule="auto"/>
        <w:ind w:right="-28"/>
        <w:rPr>
          <w:sz w:val="21"/>
          <w:szCs w:val="21"/>
        </w:rPr>
      </w:pPr>
      <w:r>
        <w:rPr>
          <w:sz w:val="21"/>
          <w:szCs w:val="21"/>
        </w:rPr>
        <w:t>Mit 6</w:t>
      </w:r>
      <w:r w:rsidR="00761A34">
        <w:rPr>
          <w:sz w:val="21"/>
          <w:szCs w:val="21"/>
        </w:rPr>
        <w:t>,</w:t>
      </w:r>
      <w:r>
        <w:rPr>
          <w:sz w:val="21"/>
          <w:szCs w:val="21"/>
        </w:rPr>
        <w:t xml:space="preserve">16 </w:t>
      </w:r>
      <w:r w:rsidR="00761A34">
        <w:rPr>
          <w:sz w:val="21"/>
          <w:szCs w:val="21"/>
        </w:rPr>
        <w:t xml:space="preserve">Milliarden </w:t>
      </w:r>
      <w:r>
        <w:rPr>
          <w:sz w:val="21"/>
          <w:szCs w:val="21"/>
        </w:rPr>
        <w:t>Euro Bruttou</w:t>
      </w:r>
      <w:r w:rsidR="00B92B11">
        <w:rPr>
          <w:sz w:val="21"/>
          <w:szCs w:val="21"/>
        </w:rPr>
        <w:t>msatz hält sich der</w:t>
      </w:r>
      <w:r w:rsidR="00346BC7" w:rsidRPr="005C2923">
        <w:rPr>
          <w:sz w:val="21"/>
          <w:szCs w:val="21"/>
        </w:rPr>
        <w:t xml:space="preserve"> Gesamtmarkt </w:t>
      </w:r>
      <w:r w:rsidR="005E0292">
        <w:rPr>
          <w:sz w:val="21"/>
          <w:szCs w:val="21"/>
        </w:rPr>
        <w:t>GPK/Hausrat</w:t>
      </w:r>
      <w:r w:rsidR="00346BC7" w:rsidRPr="005C2923">
        <w:rPr>
          <w:sz w:val="21"/>
          <w:szCs w:val="21"/>
        </w:rPr>
        <w:t xml:space="preserve"> auf hohem Niveau.</w:t>
      </w:r>
      <w:r w:rsidR="00B92B11">
        <w:rPr>
          <w:sz w:val="21"/>
          <w:szCs w:val="21"/>
        </w:rPr>
        <w:t xml:space="preserve"> Leicht schwächer entwickelte sich der Gesamtmar</w:t>
      </w:r>
      <w:bookmarkStart w:id="6" w:name="_GoBack"/>
      <w:bookmarkEnd w:id="6"/>
      <w:r w:rsidR="00B92B11">
        <w:rPr>
          <w:sz w:val="21"/>
          <w:szCs w:val="21"/>
        </w:rPr>
        <w:t>kt der Elektro-Kleingeräte, von dem jedoch nur ein Teil der Küchen- und Haushalts</w:t>
      </w:r>
      <w:r w:rsidR="009B1EE2">
        <w:rPr>
          <w:sz w:val="21"/>
          <w:szCs w:val="21"/>
        </w:rPr>
        <w:t>branche</w:t>
      </w:r>
      <w:r w:rsidR="00B92B11">
        <w:rPr>
          <w:sz w:val="21"/>
          <w:szCs w:val="21"/>
        </w:rPr>
        <w:t xml:space="preserve"> zugerechnet wird. Bemerkenswert sind in Bezug auf das Jahr 2018 die Verschiebungen innerhalb der Bereiche und die stark abweichende Nachfrage in den einzelnen Monaten des abgelaufenen Jahres.</w:t>
      </w:r>
    </w:p>
    <w:p w:rsidR="004E27F0" w:rsidRDefault="006815BA" w:rsidP="00F71684">
      <w:pPr>
        <w:spacing w:before="120" w:line="360" w:lineRule="auto"/>
        <w:ind w:right="-28"/>
        <w:rPr>
          <w:sz w:val="21"/>
          <w:szCs w:val="21"/>
        </w:rPr>
      </w:pPr>
      <w:r>
        <w:rPr>
          <w:sz w:val="21"/>
          <w:szCs w:val="21"/>
        </w:rPr>
        <w:t xml:space="preserve">Am besten schnitt </w:t>
      </w:r>
      <w:r w:rsidR="004E27F0">
        <w:rPr>
          <w:sz w:val="21"/>
          <w:szCs w:val="21"/>
        </w:rPr>
        <w:t>in der Marktbeobachtung des Instituts für Handels</w:t>
      </w:r>
      <w:r w:rsidR="009B1EE2">
        <w:rPr>
          <w:sz w:val="21"/>
          <w:szCs w:val="21"/>
        </w:rPr>
        <w:softHyphen/>
      </w:r>
      <w:r w:rsidR="004E27F0">
        <w:rPr>
          <w:sz w:val="21"/>
          <w:szCs w:val="21"/>
        </w:rPr>
        <w:t xml:space="preserve">forschung (IFH) </w:t>
      </w:r>
      <w:r>
        <w:rPr>
          <w:sz w:val="21"/>
          <w:szCs w:val="21"/>
        </w:rPr>
        <w:t>der Bereich „</w:t>
      </w:r>
      <w:proofErr w:type="spellStart"/>
      <w:r>
        <w:rPr>
          <w:sz w:val="21"/>
          <w:szCs w:val="21"/>
        </w:rPr>
        <w:t>Domus</w:t>
      </w:r>
      <w:proofErr w:type="spellEnd"/>
      <w:r>
        <w:rPr>
          <w:sz w:val="21"/>
          <w:szCs w:val="21"/>
        </w:rPr>
        <w:t>“ mit einem Umsatzplus von 1,2</w:t>
      </w:r>
      <w:r w:rsidR="009B1EE2">
        <w:rPr>
          <w:sz w:val="21"/>
          <w:szCs w:val="21"/>
        </w:rPr>
        <w:t> </w:t>
      </w:r>
      <w:r w:rsidR="00064C05">
        <w:rPr>
          <w:sz w:val="21"/>
          <w:szCs w:val="21"/>
        </w:rPr>
        <w:t>Prozent</w:t>
      </w:r>
      <w:r>
        <w:rPr>
          <w:sz w:val="21"/>
          <w:szCs w:val="21"/>
        </w:rPr>
        <w:t xml:space="preserve"> und einem Marktvolumen von 2,06 Milliarden Euro ab. Hierzu zählen Wohnaccessoires, Dekoration und Geschenkartikel. Die Ausgaben für „Tavola“ stiegen um 0,4</w:t>
      </w:r>
      <w:r w:rsidR="00064C05">
        <w:rPr>
          <w:sz w:val="21"/>
          <w:szCs w:val="21"/>
        </w:rPr>
        <w:t xml:space="preserve"> Prozent</w:t>
      </w:r>
      <w:r>
        <w:rPr>
          <w:sz w:val="21"/>
          <w:szCs w:val="21"/>
        </w:rPr>
        <w:t xml:space="preserve"> auf 1,52 Milliarden Euro, wobei die Nachfrage nach Tafelgeschirr und Trinkglas um jeweils 5,5</w:t>
      </w:r>
      <w:r w:rsidR="009B1EE2">
        <w:rPr>
          <w:sz w:val="21"/>
          <w:szCs w:val="21"/>
        </w:rPr>
        <w:t> </w:t>
      </w:r>
      <w:r w:rsidR="00064C05">
        <w:rPr>
          <w:sz w:val="21"/>
          <w:szCs w:val="21"/>
        </w:rPr>
        <w:t>Prozent</w:t>
      </w:r>
      <w:r>
        <w:rPr>
          <w:sz w:val="21"/>
          <w:szCs w:val="21"/>
        </w:rPr>
        <w:t xml:space="preserve"> schwächer ausfiel als im Jahr 2017. Seinen vorläufigen Höhepunkt hat der Bereich „</w:t>
      </w:r>
      <w:proofErr w:type="spellStart"/>
      <w:r>
        <w:rPr>
          <w:sz w:val="21"/>
          <w:szCs w:val="21"/>
        </w:rPr>
        <w:t>Cucina</w:t>
      </w:r>
      <w:proofErr w:type="spellEnd"/>
      <w:r>
        <w:rPr>
          <w:sz w:val="21"/>
          <w:szCs w:val="21"/>
        </w:rPr>
        <w:t>“ überschritten, der im Jahr 2018 3,0</w:t>
      </w:r>
      <w:r w:rsidR="005E0292">
        <w:rPr>
          <w:sz w:val="21"/>
          <w:szCs w:val="21"/>
        </w:rPr>
        <w:t> </w:t>
      </w:r>
      <w:r w:rsidR="00064C05">
        <w:rPr>
          <w:sz w:val="21"/>
          <w:szCs w:val="21"/>
        </w:rPr>
        <w:t>Prozent</w:t>
      </w:r>
      <w:r>
        <w:rPr>
          <w:sz w:val="21"/>
          <w:szCs w:val="21"/>
        </w:rPr>
        <w:t xml:space="preserve"> einbüßen musste und nun</w:t>
      </w:r>
      <w:r w:rsidR="004E27F0">
        <w:rPr>
          <w:sz w:val="21"/>
          <w:szCs w:val="21"/>
        </w:rPr>
        <w:t xml:space="preserve"> 2,59 Milliarden Euro</w:t>
      </w:r>
      <w:r>
        <w:rPr>
          <w:sz w:val="21"/>
          <w:szCs w:val="21"/>
        </w:rPr>
        <w:t xml:space="preserve"> umfasst. </w:t>
      </w:r>
      <w:r w:rsidR="004E27F0">
        <w:rPr>
          <w:sz w:val="21"/>
          <w:szCs w:val="21"/>
        </w:rPr>
        <w:t>D</w:t>
      </w:r>
      <w:r w:rsidR="00761A34">
        <w:rPr>
          <w:sz w:val="21"/>
          <w:szCs w:val="21"/>
        </w:rPr>
        <w:t>er Umsatzrückgang</w:t>
      </w:r>
      <w:r w:rsidR="004E27F0">
        <w:rPr>
          <w:sz w:val="21"/>
          <w:szCs w:val="21"/>
        </w:rPr>
        <w:t xml:space="preserve"> betrifft insbesondere Koch-, Brat- und Backgeschirr, das viele Jahre lang stets für </w:t>
      </w:r>
      <w:r w:rsidR="00761A34">
        <w:rPr>
          <w:sz w:val="21"/>
          <w:szCs w:val="21"/>
        </w:rPr>
        <w:t>Z</w:t>
      </w:r>
      <w:r w:rsidR="004E27F0">
        <w:rPr>
          <w:sz w:val="21"/>
          <w:szCs w:val="21"/>
        </w:rPr>
        <w:t>uwächse sorgte und noch vor einem Jahr als</w:t>
      </w:r>
      <w:r w:rsidR="004E27F0" w:rsidRPr="005C2923">
        <w:rPr>
          <w:sz w:val="21"/>
          <w:szCs w:val="21"/>
        </w:rPr>
        <w:t xml:space="preserve"> </w:t>
      </w:r>
      <w:r w:rsidR="00346BC7" w:rsidRPr="005C2923">
        <w:rPr>
          <w:sz w:val="21"/>
          <w:szCs w:val="21"/>
        </w:rPr>
        <w:t xml:space="preserve">„Shooting Star“ unter den Sortimenten </w:t>
      </w:r>
      <w:r w:rsidR="004E27F0">
        <w:rPr>
          <w:sz w:val="21"/>
          <w:szCs w:val="21"/>
        </w:rPr>
        <w:t>bezeichnet wurde.</w:t>
      </w:r>
    </w:p>
    <w:p w:rsidR="00064C05" w:rsidRDefault="004E27F0" w:rsidP="00F71684">
      <w:pPr>
        <w:spacing w:before="120" w:line="360" w:lineRule="auto"/>
        <w:ind w:right="-28"/>
        <w:rPr>
          <w:sz w:val="21"/>
          <w:szCs w:val="21"/>
        </w:rPr>
      </w:pPr>
      <w:r>
        <w:rPr>
          <w:sz w:val="21"/>
          <w:szCs w:val="21"/>
        </w:rPr>
        <w:t xml:space="preserve">Das Marktvolumen </w:t>
      </w:r>
      <w:r w:rsidR="00D61159">
        <w:rPr>
          <w:sz w:val="21"/>
          <w:szCs w:val="21"/>
        </w:rPr>
        <w:t>der Elektro-Kleingeräte sank um 1,8</w:t>
      </w:r>
      <w:r w:rsidR="00064C05">
        <w:rPr>
          <w:sz w:val="21"/>
          <w:szCs w:val="21"/>
        </w:rPr>
        <w:t xml:space="preserve"> Prozent</w:t>
      </w:r>
      <w:r w:rsidR="00D61159">
        <w:rPr>
          <w:sz w:val="21"/>
          <w:szCs w:val="21"/>
        </w:rPr>
        <w:t xml:space="preserve"> auf</w:t>
      </w:r>
      <w:r w:rsidR="009B1EE2">
        <w:rPr>
          <w:sz w:val="21"/>
          <w:szCs w:val="21"/>
        </w:rPr>
        <w:t xml:space="preserve"> 4,65 </w:t>
      </w:r>
      <w:r w:rsidR="00D61159">
        <w:rPr>
          <w:sz w:val="21"/>
          <w:szCs w:val="21"/>
        </w:rPr>
        <w:t xml:space="preserve">Milliarden Euro. Unerwartet </w:t>
      </w:r>
      <w:r w:rsidR="009B1EE2">
        <w:rPr>
          <w:sz w:val="21"/>
          <w:szCs w:val="21"/>
        </w:rPr>
        <w:t xml:space="preserve">und erfreulicher Weise </w:t>
      </w:r>
      <w:r w:rsidR="00D61159">
        <w:rPr>
          <w:sz w:val="21"/>
          <w:szCs w:val="21"/>
        </w:rPr>
        <w:t>legte</w:t>
      </w:r>
      <w:r w:rsidR="00064C05">
        <w:rPr>
          <w:sz w:val="21"/>
          <w:szCs w:val="21"/>
        </w:rPr>
        <w:t>n</w:t>
      </w:r>
      <w:r w:rsidR="00D61159">
        <w:rPr>
          <w:sz w:val="21"/>
          <w:szCs w:val="21"/>
        </w:rPr>
        <w:t xml:space="preserve"> nach einer jahrelangen Hausse die Kaffee- und Espressomaschinen ein weiteres Mal zu und überschritten souverän die Marke von einer Milliarde Euro Umsatz, was einem Plus von 1,6</w:t>
      </w:r>
      <w:r w:rsidR="00064C05">
        <w:rPr>
          <w:sz w:val="21"/>
          <w:szCs w:val="21"/>
        </w:rPr>
        <w:t xml:space="preserve"> Prozent</w:t>
      </w:r>
      <w:r w:rsidR="00D61159">
        <w:rPr>
          <w:sz w:val="21"/>
          <w:szCs w:val="21"/>
        </w:rPr>
        <w:t xml:space="preserve"> entspricht. </w:t>
      </w:r>
      <w:r w:rsidR="005E0292">
        <w:rPr>
          <w:sz w:val="21"/>
          <w:szCs w:val="21"/>
        </w:rPr>
        <w:t>Weiterhin auf Konsolidierungskurs</w:t>
      </w:r>
      <w:r w:rsidR="00D61159">
        <w:rPr>
          <w:sz w:val="21"/>
          <w:szCs w:val="21"/>
        </w:rPr>
        <w:t xml:space="preserve"> befinden sich infolge einer ersten Marktsättigung die kochenden Küchenmaschinen.</w:t>
      </w:r>
    </w:p>
    <w:p w:rsidR="00064C05" w:rsidRDefault="00064C05" w:rsidP="00F71684">
      <w:pPr>
        <w:spacing w:before="120" w:line="360" w:lineRule="auto"/>
        <w:ind w:right="-28"/>
        <w:rPr>
          <w:sz w:val="21"/>
          <w:szCs w:val="21"/>
        </w:rPr>
      </w:pPr>
    </w:p>
    <w:p w:rsidR="00064C05" w:rsidRPr="00064C05" w:rsidRDefault="00064C05" w:rsidP="00F71684">
      <w:pPr>
        <w:spacing w:before="120" w:line="360" w:lineRule="auto"/>
        <w:ind w:right="-28"/>
        <w:rPr>
          <w:b/>
          <w:sz w:val="21"/>
          <w:szCs w:val="21"/>
        </w:rPr>
      </w:pPr>
      <w:r w:rsidRPr="00064C05">
        <w:rPr>
          <w:b/>
          <w:sz w:val="21"/>
          <w:szCs w:val="21"/>
        </w:rPr>
        <w:t>Wertepolarisierung im Konsumverhalten</w:t>
      </w:r>
    </w:p>
    <w:p w:rsidR="006A4775" w:rsidRDefault="006A4775" w:rsidP="00F71684">
      <w:pPr>
        <w:spacing w:before="120" w:line="360" w:lineRule="auto"/>
        <w:ind w:right="-28"/>
        <w:rPr>
          <w:sz w:val="21"/>
          <w:szCs w:val="21"/>
        </w:rPr>
      </w:pPr>
      <w:r>
        <w:rPr>
          <w:sz w:val="21"/>
          <w:szCs w:val="21"/>
        </w:rPr>
        <w:t>„Ernährung ist die neue Religion“</w:t>
      </w:r>
      <w:r w:rsidR="00761A34">
        <w:rPr>
          <w:sz w:val="21"/>
          <w:szCs w:val="21"/>
        </w:rPr>
        <w:t>:</w:t>
      </w:r>
      <w:r>
        <w:rPr>
          <w:sz w:val="21"/>
          <w:szCs w:val="21"/>
        </w:rPr>
        <w:t xml:space="preserve"> </w:t>
      </w:r>
      <w:r w:rsidR="009B1EE2">
        <w:rPr>
          <w:sz w:val="21"/>
          <w:szCs w:val="21"/>
        </w:rPr>
        <w:t>D</w:t>
      </w:r>
      <w:r>
        <w:rPr>
          <w:sz w:val="21"/>
          <w:szCs w:val="21"/>
        </w:rPr>
        <w:t>iese Feststellung betrifft einen Teil der neuen Ernährungsweisen</w:t>
      </w:r>
      <w:r w:rsidR="00761A34">
        <w:rPr>
          <w:sz w:val="21"/>
          <w:szCs w:val="21"/>
        </w:rPr>
        <w:t xml:space="preserve">, die vor allem den jüngeren Konsumenten </w:t>
      </w:r>
      <w:r w:rsidR="00761A34">
        <w:rPr>
          <w:sz w:val="21"/>
          <w:szCs w:val="21"/>
        </w:rPr>
        <w:lastRenderedPageBreak/>
        <w:t>eine Orientierung und Abgrenzungsmöglichkeit bieten</w:t>
      </w:r>
      <w:r>
        <w:rPr>
          <w:sz w:val="21"/>
          <w:szCs w:val="21"/>
        </w:rPr>
        <w:t>. Wie im Einrich</w:t>
      </w:r>
      <w:r w:rsidR="009B1EE2">
        <w:rPr>
          <w:sz w:val="21"/>
          <w:szCs w:val="21"/>
        </w:rPr>
        <w:softHyphen/>
      </w:r>
      <w:r>
        <w:rPr>
          <w:sz w:val="21"/>
          <w:szCs w:val="21"/>
        </w:rPr>
        <w:t>tungs</w:t>
      </w:r>
      <w:r w:rsidR="009B1EE2">
        <w:rPr>
          <w:sz w:val="21"/>
          <w:szCs w:val="21"/>
        </w:rPr>
        <w:softHyphen/>
      </w:r>
      <w:r>
        <w:rPr>
          <w:sz w:val="21"/>
          <w:szCs w:val="21"/>
        </w:rPr>
        <w:t>bereich natürliche Materialien einen immer größeren Stellenwert und Status haben</w:t>
      </w:r>
      <w:r w:rsidR="009B1EE2">
        <w:rPr>
          <w:sz w:val="21"/>
          <w:szCs w:val="21"/>
        </w:rPr>
        <w:t>,</w:t>
      </w:r>
      <w:r>
        <w:rPr>
          <w:sz w:val="21"/>
          <w:szCs w:val="21"/>
        </w:rPr>
        <w:t xml:space="preserve"> gewinn</w:t>
      </w:r>
      <w:r w:rsidR="005E0292">
        <w:rPr>
          <w:sz w:val="21"/>
          <w:szCs w:val="21"/>
        </w:rPr>
        <w:t>en</w:t>
      </w:r>
      <w:r>
        <w:rPr>
          <w:sz w:val="21"/>
          <w:szCs w:val="21"/>
        </w:rPr>
        <w:t xml:space="preserve"> </w:t>
      </w:r>
      <w:r w:rsidR="005E0292">
        <w:rPr>
          <w:sz w:val="21"/>
          <w:szCs w:val="21"/>
        </w:rPr>
        <w:t xml:space="preserve">für viele Menschen </w:t>
      </w:r>
      <w:r>
        <w:rPr>
          <w:sz w:val="21"/>
          <w:szCs w:val="21"/>
        </w:rPr>
        <w:t xml:space="preserve">auch die Qualität, die Produktionsweise, die Verarbeitung </w:t>
      </w:r>
      <w:r w:rsidR="005E0292">
        <w:rPr>
          <w:sz w:val="21"/>
          <w:szCs w:val="21"/>
        </w:rPr>
        <w:t xml:space="preserve">von Nahrungs- und Genussmitteln </w:t>
      </w:r>
      <w:r>
        <w:rPr>
          <w:sz w:val="21"/>
          <w:szCs w:val="21"/>
        </w:rPr>
        <w:t>einen immer höheren Stellenwert. Hier gibt es einen Wandel zu mehr Wertschätzung: Zusammen kochen, sich gegenseitig einladen,</w:t>
      </w:r>
      <w:r w:rsidR="00761A34">
        <w:rPr>
          <w:sz w:val="21"/>
          <w:szCs w:val="21"/>
        </w:rPr>
        <w:t xml:space="preserve"> Hinter</w:t>
      </w:r>
      <w:r w:rsidR="009B1EE2">
        <w:rPr>
          <w:sz w:val="21"/>
          <w:szCs w:val="21"/>
        </w:rPr>
        <w:softHyphen/>
      </w:r>
      <w:r w:rsidR="00761A34">
        <w:rPr>
          <w:sz w:val="21"/>
          <w:szCs w:val="21"/>
        </w:rPr>
        <w:t>gründe</w:t>
      </w:r>
      <w:r>
        <w:rPr>
          <w:sz w:val="21"/>
          <w:szCs w:val="21"/>
        </w:rPr>
        <w:t xml:space="preserve"> zu Gerichten </w:t>
      </w:r>
      <w:r w:rsidR="00761A34">
        <w:rPr>
          <w:sz w:val="21"/>
          <w:szCs w:val="21"/>
        </w:rPr>
        <w:t xml:space="preserve">kennen </w:t>
      </w:r>
      <w:r>
        <w:rPr>
          <w:sz w:val="21"/>
          <w:szCs w:val="21"/>
        </w:rPr>
        <w:t>und Vielfalt und dem Besonderen</w:t>
      </w:r>
      <w:r w:rsidR="00761A34">
        <w:rPr>
          <w:sz w:val="21"/>
          <w:szCs w:val="21"/>
        </w:rPr>
        <w:t xml:space="preserve"> ein gesteigertes Interesse entgegenbringen</w:t>
      </w:r>
      <w:r>
        <w:rPr>
          <w:sz w:val="21"/>
          <w:szCs w:val="21"/>
        </w:rPr>
        <w:t xml:space="preserve">. Die Entwicklung des </w:t>
      </w:r>
      <w:proofErr w:type="spellStart"/>
      <w:r>
        <w:rPr>
          <w:sz w:val="21"/>
          <w:szCs w:val="21"/>
        </w:rPr>
        <w:t>Craft</w:t>
      </w:r>
      <w:proofErr w:type="spellEnd"/>
      <w:r>
        <w:rPr>
          <w:sz w:val="21"/>
          <w:szCs w:val="21"/>
        </w:rPr>
        <w:t xml:space="preserve"> Beers, des handwerklich hergestellten Bieres im Gegensatz zur industriellen Massenproduktion</w:t>
      </w:r>
      <w:r w:rsidR="00761A34">
        <w:rPr>
          <w:sz w:val="21"/>
          <w:szCs w:val="21"/>
        </w:rPr>
        <w:t>,</w:t>
      </w:r>
      <w:r>
        <w:rPr>
          <w:sz w:val="21"/>
          <w:szCs w:val="21"/>
        </w:rPr>
        <w:t xml:space="preserve"> kennzeichnet diese Entwicklung. Alte Spezialitäten wie Whisky, Rum und aktuell Gin feiern ein großartiges Comeback. Um dies zu zelebrieren bedarf es besonderer Gläser und ein</w:t>
      </w:r>
      <w:r w:rsidR="002C40A1">
        <w:rPr>
          <w:sz w:val="21"/>
          <w:szCs w:val="21"/>
        </w:rPr>
        <w:t>er vielfältigen Barausstattung.</w:t>
      </w:r>
    </w:p>
    <w:p w:rsidR="002C40A1" w:rsidRDefault="002C40A1" w:rsidP="005E0292">
      <w:pPr>
        <w:spacing w:before="120" w:line="360" w:lineRule="auto"/>
        <w:ind w:right="-28"/>
        <w:rPr>
          <w:sz w:val="21"/>
          <w:szCs w:val="21"/>
        </w:rPr>
      </w:pPr>
      <w:r>
        <w:rPr>
          <w:sz w:val="21"/>
          <w:szCs w:val="21"/>
        </w:rPr>
        <w:t xml:space="preserve">Dieser Trend setzt sich beim Essen, beim Genießen fort. Tischtextilien </w:t>
      </w:r>
      <w:r w:rsidR="00B25DA7">
        <w:rPr>
          <w:sz w:val="21"/>
          <w:szCs w:val="21"/>
        </w:rPr>
        <w:t xml:space="preserve">bilden die Bühne für eine vielfältige Tischinszenierung. </w:t>
      </w:r>
      <w:r w:rsidR="00C077C8">
        <w:rPr>
          <w:sz w:val="21"/>
          <w:szCs w:val="21"/>
        </w:rPr>
        <w:t xml:space="preserve">Das Thema Food </w:t>
      </w:r>
      <w:proofErr w:type="spellStart"/>
      <w:r w:rsidR="00C077C8">
        <w:rPr>
          <w:sz w:val="21"/>
          <w:szCs w:val="21"/>
        </w:rPr>
        <w:t>Bowls</w:t>
      </w:r>
      <w:proofErr w:type="spellEnd"/>
      <w:r w:rsidR="00C077C8">
        <w:rPr>
          <w:sz w:val="21"/>
          <w:szCs w:val="21"/>
        </w:rPr>
        <w:t xml:space="preserve"> </w:t>
      </w:r>
      <w:r w:rsidR="00B25DA7">
        <w:rPr>
          <w:sz w:val="21"/>
          <w:szCs w:val="21"/>
        </w:rPr>
        <w:t>ergänz</w:t>
      </w:r>
      <w:r w:rsidR="00C077C8">
        <w:rPr>
          <w:sz w:val="21"/>
          <w:szCs w:val="21"/>
        </w:rPr>
        <w:t>t</w:t>
      </w:r>
      <w:r w:rsidR="00B25DA7">
        <w:rPr>
          <w:sz w:val="21"/>
          <w:szCs w:val="21"/>
        </w:rPr>
        <w:t xml:space="preserve"> das Porzellangeschirr. Besteck</w:t>
      </w:r>
      <w:r w:rsidR="00C077C8">
        <w:rPr>
          <w:sz w:val="21"/>
          <w:szCs w:val="21"/>
        </w:rPr>
        <w:t xml:space="preserve"> verwandelt sich</w:t>
      </w:r>
      <w:r w:rsidR="00B25DA7">
        <w:rPr>
          <w:sz w:val="21"/>
          <w:szCs w:val="21"/>
        </w:rPr>
        <w:t xml:space="preserve"> zur Dekoration, Gläser für Spezialitäten bringen Essen und Getränke lebhaft zur Geltung. </w:t>
      </w:r>
      <w:r w:rsidR="00186459">
        <w:rPr>
          <w:sz w:val="21"/>
          <w:szCs w:val="21"/>
        </w:rPr>
        <w:t>„</w:t>
      </w:r>
      <w:r w:rsidR="00B25DA7">
        <w:rPr>
          <w:sz w:val="21"/>
          <w:szCs w:val="21"/>
        </w:rPr>
        <w:t xml:space="preserve">Schade nur, dass dieses „Roll out“ in Kochshows </w:t>
      </w:r>
      <w:r w:rsidR="00186459">
        <w:rPr>
          <w:sz w:val="21"/>
          <w:szCs w:val="21"/>
        </w:rPr>
        <w:t>bislang</w:t>
      </w:r>
      <w:r w:rsidR="00C077C8">
        <w:rPr>
          <w:sz w:val="21"/>
          <w:szCs w:val="21"/>
        </w:rPr>
        <w:t xml:space="preserve"> </w:t>
      </w:r>
      <w:r w:rsidR="00B25DA7">
        <w:rPr>
          <w:sz w:val="21"/>
          <w:szCs w:val="21"/>
        </w:rPr>
        <w:t>nicht stattfindet, so dass viele Bürger</w:t>
      </w:r>
      <w:r w:rsidR="009B1EE2">
        <w:rPr>
          <w:sz w:val="21"/>
          <w:szCs w:val="21"/>
        </w:rPr>
        <w:t xml:space="preserve"> medial</w:t>
      </w:r>
      <w:r w:rsidR="00186459">
        <w:rPr>
          <w:sz w:val="21"/>
          <w:szCs w:val="21"/>
        </w:rPr>
        <w:t xml:space="preserve"> daran nicht teilhaben können“, merkt Thomas Grothkopp, Geschäftsführer des Handelsverbandes Koch- und Tischkultur kritisch an.</w:t>
      </w:r>
    </w:p>
    <w:p w:rsidR="00B25DA7" w:rsidRDefault="00B25DA7" w:rsidP="00F71684">
      <w:pPr>
        <w:spacing w:before="120" w:line="360" w:lineRule="auto"/>
        <w:ind w:right="-28"/>
        <w:rPr>
          <w:sz w:val="21"/>
          <w:szCs w:val="21"/>
        </w:rPr>
      </w:pPr>
    </w:p>
    <w:p w:rsidR="00B25DA7" w:rsidRPr="00B25DA7" w:rsidRDefault="00B25DA7" w:rsidP="00F71684">
      <w:pPr>
        <w:spacing w:before="120" w:line="360" w:lineRule="auto"/>
        <w:ind w:right="-28"/>
        <w:rPr>
          <w:b/>
          <w:sz w:val="21"/>
          <w:szCs w:val="21"/>
        </w:rPr>
      </w:pPr>
      <w:r w:rsidRPr="00B25DA7">
        <w:rPr>
          <w:b/>
          <w:sz w:val="21"/>
          <w:szCs w:val="21"/>
        </w:rPr>
        <w:t>Vertriebsformen überlagern sich immer stärker</w:t>
      </w:r>
    </w:p>
    <w:p w:rsidR="00B25DA7" w:rsidRDefault="008F1185" w:rsidP="00F71684">
      <w:pPr>
        <w:spacing w:before="120" w:line="360" w:lineRule="auto"/>
        <w:ind w:right="-28"/>
        <w:rPr>
          <w:sz w:val="21"/>
          <w:szCs w:val="21"/>
        </w:rPr>
      </w:pPr>
      <w:r>
        <w:rPr>
          <w:sz w:val="21"/>
          <w:szCs w:val="21"/>
        </w:rPr>
        <w:t>Die amtliche Statistik arbeitet auch heute mit Kategorien, die vor mehreren Jahrzehnten gültig waren. Viele klassische Porzellan- und Hausratgeschäfte sind längst Lifestyle-Läden. Spezialisten für Dekora</w:t>
      </w:r>
      <w:r w:rsidR="009B1EE2">
        <w:rPr>
          <w:sz w:val="21"/>
          <w:szCs w:val="21"/>
        </w:rPr>
        <w:softHyphen/>
      </w:r>
      <w:r>
        <w:rPr>
          <w:sz w:val="21"/>
          <w:szCs w:val="21"/>
        </w:rPr>
        <w:t>tion und Wohnaccessoires, Bedarfsangebote in ambitionierten Lebens</w:t>
      </w:r>
      <w:r w:rsidR="009B1EE2">
        <w:rPr>
          <w:sz w:val="21"/>
          <w:szCs w:val="21"/>
        </w:rPr>
        <w:softHyphen/>
      </w:r>
      <w:r>
        <w:rPr>
          <w:sz w:val="21"/>
          <w:szCs w:val="21"/>
        </w:rPr>
        <w:t>mittelgeschäften kenn</w:t>
      </w:r>
      <w:r w:rsidR="009B1EE2">
        <w:rPr>
          <w:sz w:val="21"/>
          <w:szCs w:val="21"/>
        </w:rPr>
        <w:softHyphen/>
      </w:r>
      <w:r>
        <w:rPr>
          <w:sz w:val="21"/>
          <w:szCs w:val="21"/>
        </w:rPr>
        <w:t>zeichnen die</w:t>
      </w:r>
      <w:r w:rsidR="009B1EE2">
        <w:rPr>
          <w:sz w:val="21"/>
          <w:szCs w:val="21"/>
        </w:rPr>
        <w:t>se</w:t>
      </w:r>
      <w:r>
        <w:rPr>
          <w:sz w:val="21"/>
          <w:szCs w:val="21"/>
        </w:rPr>
        <w:t xml:space="preserve"> Entwicklung. Fachgeschäfte standen im vergangenen Jahr für 36 Prozent des Branchenumsatzes, der Möbelhandel für 14 Prozent, SB-Warenhäuser und Verbraucher</w:t>
      </w:r>
      <w:r w:rsidR="009B1EE2">
        <w:rPr>
          <w:sz w:val="21"/>
          <w:szCs w:val="21"/>
        </w:rPr>
        <w:softHyphen/>
      </w:r>
      <w:r>
        <w:rPr>
          <w:sz w:val="21"/>
          <w:szCs w:val="21"/>
        </w:rPr>
        <w:t xml:space="preserve">märkte für 12 Prozent, Lebensmittelhandel und Discounter für 9 Prozent. </w:t>
      </w:r>
    </w:p>
    <w:p w:rsidR="008F1185" w:rsidRDefault="008F1185" w:rsidP="00F71684">
      <w:pPr>
        <w:spacing w:before="120" w:line="360" w:lineRule="auto"/>
        <w:ind w:right="-28"/>
        <w:rPr>
          <w:sz w:val="21"/>
          <w:szCs w:val="21"/>
        </w:rPr>
      </w:pPr>
      <w:r>
        <w:rPr>
          <w:sz w:val="21"/>
          <w:szCs w:val="21"/>
        </w:rPr>
        <w:t>Den Umsatzanteil von Pure-online-Playern könnte nur die Gesamtheit aller Hersteller und Importeure ermitteln. Er wird mit 12 Prozent angegeben. Immerhin noch 9 Prozent machen die Kauf- und Waren</w:t>
      </w:r>
      <w:r w:rsidR="00186459">
        <w:rPr>
          <w:sz w:val="21"/>
          <w:szCs w:val="21"/>
        </w:rPr>
        <w:softHyphen/>
      </w:r>
      <w:r>
        <w:rPr>
          <w:sz w:val="21"/>
          <w:szCs w:val="21"/>
        </w:rPr>
        <w:t xml:space="preserve">häuser aus. Welche Bedeutung sie im kommenden Jahrzehnt haben werden, und wem möglicherweise Teile ihrer Umsätze zufließen werden, ist ungewiss. </w:t>
      </w:r>
    </w:p>
    <w:p w:rsidR="009B1EE2" w:rsidRDefault="009B1EE2" w:rsidP="00F71684">
      <w:pPr>
        <w:spacing w:before="120" w:line="360" w:lineRule="auto"/>
        <w:ind w:right="-28"/>
        <w:rPr>
          <w:sz w:val="21"/>
          <w:szCs w:val="21"/>
        </w:rPr>
      </w:pPr>
    </w:p>
    <w:p w:rsidR="008F1185" w:rsidRDefault="008F1185" w:rsidP="00F71684">
      <w:pPr>
        <w:spacing w:before="120" w:line="360" w:lineRule="auto"/>
        <w:ind w:right="-28"/>
        <w:rPr>
          <w:sz w:val="21"/>
          <w:szCs w:val="21"/>
        </w:rPr>
      </w:pPr>
    </w:p>
    <w:p w:rsidR="008F1185" w:rsidRPr="0050150D" w:rsidRDefault="0050150D" w:rsidP="00F71684">
      <w:pPr>
        <w:spacing w:before="120" w:line="360" w:lineRule="auto"/>
        <w:ind w:right="-28"/>
        <w:rPr>
          <w:b/>
          <w:sz w:val="21"/>
          <w:szCs w:val="21"/>
        </w:rPr>
      </w:pPr>
      <w:r w:rsidRPr="0050150D">
        <w:rPr>
          <w:b/>
          <w:sz w:val="21"/>
          <w:szCs w:val="21"/>
        </w:rPr>
        <w:t>Fachhandel steht vor großen Herausforderungen</w:t>
      </w:r>
    </w:p>
    <w:p w:rsidR="0050150D" w:rsidRDefault="0050150D" w:rsidP="00F71684">
      <w:pPr>
        <w:spacing w:before="120" w:line="360" w:lineRule="auto"/>
        <w:ind w:right="-28"/>
        <w:rPr>
          <w:sz w:val="21"/>
          <w:szCs w:val="21"/>
        </w:rPr>
      </w:pPr>
      <w:r>
        <w:rPr>
          <w:sz w:val="21"/>
          <w:szCs w:val="21"/>
        </w:rPr>
        <w:t>Die Sortimentskompetenz des Fachhandels ist unbestritten. Und doch vermiss</w:t>
      </w:r>
      <w:r w:rsidR="005E0292">
        <w:rPr>
          <w:sz w:val="21"/>
          <w:szCs w:val="21"/>
        </w:rPr>
        <w:t>en die Unternehmen</w:t>
      </w:r>
      <w:r>
        <w:rPr>
          <w:sz w:val="21"/>
          <w:szCs w:val="21"/>
        </w:rPr>
        <w:t xml:space="preserve"> bei vielen </w:t>
      </w:r>
      <w:r w:rsidR="005E0292">
        <w:rPr>
          <w:sz w:val="21"/>
          <w:szCs w:val="21"/>
        </w:rPr>
        <w:t>ihrer</w:t>
      </w:r>
      <w:r>
        <w:rPr>
          <w:sz w:val="21"/>
          <w:szCs w:val="21"/>
        </w:rPr>
        <w:t xml:space="preserve"> Lieferanten eine konsistente, differenzierte Vertriebspolitik. </w:t>
      </w:r>
      <w:r w:rsidR="009B1EE2">
        <w:rPr>
          <w:sz w:val="21"/>
          <w:szCs w:val="21"/>
        </w:rPr>
        <w:t>„</w:t>
      </w:r>
      <w:r>
        <w:rPr>
          <w:sz w:val="21"/>
          <w:szCs w:val="21"/>
        </w:rPr>
        <w:t>Mit gleichen Serien und einheitlichen Konditionen in vielfältigen Vertriebsformen präsent zu sein funktioniert heute nicht mehr</w:t>
      </w:r>
      <w:r w:rsidR="009B1EE2">
        <w:rPr>
          <w:sz w:val="21"/>
          <w:szCs w:val="21"/>
        </w:rPr>
        <w:t xml:space="preserve">, stellt Christina van </w:t>
      </w:r>
      <w:proofErr w:type="spellStart"/>
      <w:r w:rsidR="009B1EE2">
        <w:rPr>
          <w:sz w:val="21"/>
          <w:szCs w:val="21"/>
        </w:rPr>
        <w:t>Dorp</w:t>
      </w:r>
      <w:proofErr w:type="spellEnd"/>
      <w:r w:rsidR="009B1EE2">
        <w:rPr>
          <w:sz w:val="21"/>
          <w:szCs w:val="21"/>
        </w:rPr>
        <w:t>, Präsidentin des Handels</w:t>
      </w:r>
      <w:r w:rsidR="00186459">
        <w:rPr>
          <w:sz w:val="21"/>
          <w:szCs w:val="21"/>
        </w:rPr>
        <w:softHyphen/>
      </w:r>
      <w:r w:rsidR="009B1EE2">
        <w:rPr>
          <w:sz w:val="21"/>
          <w:szCs w:val="21"/>
        </w:rPr>
        <w:t>verbandes Koch- und Tischkultur fest</w:t>
      </w:r>
      <w:r>
        <w:rPr>
          <w:sz w:val="21"/>
          <w:szCs w:val="21"/>
        </w:rPr>
        <w:t xml:space="preserve">. </w:t>
      </w:r>
      <w:r w:rsidR="009B1EE2">
        <w:rPr>
          <w:sz w:val="21"/>
          <w:szCs w:val="21"/>
        </w:rPr>
        <w:t>„</w:t>
      </w:r>
      <w:r>
        <w:rPr>
          <w:sz w:val="21"/>
          <w:szCs w:val="21"/>
        </w:rPr>
        <w:t>Jeder Vertriebsweg hat seine spezifischen Aufwendungen und damit verbunden unterschiedliche Ko</w:t>
      </w:r>
      <w:r w:rsidR="00E70109">
        <w:rPr>
          <w:sz w:val="21"/>
          <w:szCs w:val="21"/>
        </w:rPr>
        <w:t>stenstrukturen. Zugleich leisten die einzelnen Handelsformate unter</w:t>
      </w:r>
      <w:r w:rsidR="00186459">
        <w:rPr>
          <w:sz w:val="21"/>
          <w:szCs w:val="21"/>
        </w:rPr>
        <w:softHyphen/>
      </w:r>
      <w:r w:rsidR="00E70109">
        <w:rPr>
          <w:sz w:val="21"/>
          <w:szCs w:val="21"/>
        </w:rPr>
        <w:t>schiedlich viel für Markenhersteller.</w:t>
      </w:r>
      <w:r w:rsidR="009B1EE2">
        <w:rPr>
          <w:sz w:val="21"/>
          <w:szCs w:val="21"/>
        </w:rPr>
        <w:t>“</w:t>
      </w:r>
      <w:r w:rsidR="00E70109">
        <w:rPr>
          <w:sz w:val="21"/>
          <w:szCs w:val="21"/>
        </w:rPr>
        <w:t xml:space="preserve"> </w:t>
      </w:r>
      <w:r w:rsidR="009B1EE2">
        <w:rPr>
          <w:sz w:val="21"/>
          <w:szCs w:val="21"/>
        </w:rPr>
        <w:t>Entsprechend stellt sich die Frage</w:t>
      </w:r>
      <w:r w:rsidR="00E70109">
        <w:rPr>
          <w:sz w:val="21"/>
          <w:szCs w:val="21"/>
        </w:rPr>
        <w:t xml:space="preserve">, was Hersteller für ihre Vertriebspartner leisten. Beispiele sind verlässliche Neuheiten inklusive Marketingunterstützung und Verfügbarkeit von Daten und Ware. </w:t>
      </w:r>
    </w:p>
    <w:p w:rsidR="00E70109" w:rsidRDefault="00E70109" w:rsidP="00F71684">
      <w:pPr>
        <w:spacing w:before="120" w:line="360" w:lineRule="auto"/>
        <w:ind w:right="-28"/>
        <w:rPr>
          <w:sz w:val="21"/>
          <w:szCs w:val="21"/>
        </w:rPr>
      </w:pPr>
      <w:r>
        <w:rPr>
          <w:sz w:val="21"/>
          <w:szCs w:val="21"/>
        </w:rPr>
        <w:t>Der Handel muss heute stationär wie online sichtbar sein. Doch hier ist nicht jeder Handelsunternehmer professionell genug</w:t>
      </w:r>
      <w:r w:rsidR="000C43B5">
        <w:rPr>
          <w:sz w:val="21"/>
          <w:szCs w:val="21"/>
        </w:rPr>
        <w:t xml:space="preserve"> aufgestellt</w:t>
      </w:r>
      <w:r>
        <w:rPr>
          <w:sz w:val="21"/>
          <w:szCs w:val="21"/>
        </w:rPr>
        <w:t xml:space="preserve">. Die Hoffnung </w:t>
      </w:r>
      <w:r w:rsidR="000C43B5">
        <w:rPr>
          <w:sz w:val="21"/>
          <w:szCs w:val="21"/>
        </w:rPr>
        <w:t xml:space="preserve">der Branche </w:t>
      </w:r>
      <w:r>
        <w:rPr>
          <w:sz w:val="21"/>
          <w:szCs w:val="21"/>
        </w:rPr>
        <w:t>liegt auf „</w:t>
      </w:r>
      <w:proofErr w:type="spellStart"/>
      <w:r>
        <w:rPr>
          <w:sz w:val="21"/>
          <w:szCs w:val="21"/>
        </w:rPr>
        <w:t>Eres</w:t>
      </w:r>
      <w:proofErr w:type="spellEnd"/>
      <w:r>
        <w:rPr>
          <w:sz w:val="21"/>
          <w:szCs w:val="21"/>
        </w:rPr>
        <w:t>“, dem digitalen Roll out der Mehr</w:t>
      </w:r>
      <w:r w:rsidR="009B1EE2">
        <w:rPr>
          <w:sz w:val="21"/>
          <w:szCs w:val="21"/>
        </w:rPr>
        <w:softHyphen/>
      </w:r>
      <w:r>
        <w:rPr>
          <w:sz w:val="21"/>
          <w:szCs w:val="21"/>
        </w:rPr>
        <w:t>branchen-Verbundgruppe EK/</w:t>
      </w:r>
      <w:proofErr w:type="spellStart"/>
      <w:r>
        <w:rPr>
          <w:sz w:val="21"/>
          <w:szCs w:val="21"/>
        </w:rPr>
        <w:t>servicegroup</w:t>
      </w:r>
      <w:proofErr w:type="spellEnd"/>
      <w:r>
        <w:rPr>
          <w:sz w:val="21"/>
          <w:szCs w:val="21"/>
        </w:rPr>
        <w:t xml:space="preserve">. Von der Unterstützung bei der Homepage über einen Webshop bis hin zum Fulfillment </w:t>
      </w:r>
      <w:r w:rsidR="000C43B5">
        <w:rPr>
          <w:sz w:val="21"/>
          <w:szCs w:val="21"/>
        </w:rPr>
        <w:t>bei Logistik und Zustellung reicht das Portfolio der Mehrbranchen-Verbund</w:t>
      </w:r>
      <w:r w:rsidR="009B1EE2">
        <w:rPr>
          <w:sz w:val="21"/>
          <w:szCs w:val="21"/>
        </w:rPr>
        <w:softHyphen/>
      </w:r>
      <w:r w:rsidR="000C43B5">
        <w:rPr>
          <w:sz w:val="21"/>
          <w:szCs w:val="21"/>
        </w:rPr>
        <w:t>gruppe. Das setzt die Kooperation von fachhandelsorientierten Liefera</w:t>
      </w:r>
      <w:r w:rsidR="009B1EE2">
        <w:rPr>
          <w:sz w:val="21"/>
          <w:szCs w:val="21"/>
        </w:rPr>
        <w:softHyphen/>
      </w:r>
      <w:r w:rsidR="000C43B5">
        <w:rPr>
          <w:sz w:val="21"/>
          <w:szCs w:val="21"/>
        </w:rPr>
        <w:t xml:space="preserve">nten voraus, denn Lücken </w:t>
      </w:r>
      <w:r w:rsidR="00C077C8">
        <w:rPr>
          <w:sz w:val="21"/>
          <w:szCs w:val="21"/>
        </w:rPr>
        <w:t xml:space="preserve">in der </w:t>
      </w:r>
      <w:r w:rsidR="009B1EE2">
        <w:rPr>
          <w:sz w:val="21"/>
          <w:szCs w:val="21"/>
        </w:rPr>
        <w:t>Prozesskette</w:t>
      </w:r>
      <w:r w:rsidR="000C43B5">
        <w:rPr>
          <w:sz w:val="21"/>
          <w:szCs w:val="21"/>
        </w:rPr>
        <w:t xml:space="preserve"> werden heute von Kunden nicht mehr akzeptiert.</w:t>
      </w:r>
    </w:p>
    <w:p w:rsidR="00E70109" w:rsidRDefault="00E70109" w:rsidP="00F71684">
      <w:pPr>
        <w:spacing w:before="120" w:line="360" w:lineRule="auto"/>
        <w:ind w:right="-28"/>
        <w:rPr>
          <w:sz w:val="21"/>
          <w:szCs w:val="21"/>
        </w:rPr>
      </w:pPr>
    </w:p>
    <w:p w:rsidR="005E0292" w:rsidRPr="005E0292" w:rsidRDefault="008529A8" w:rsidP="00F71684">
      <w:pPr>
        <w:spacing w:before="120" w:line="360" w:lineRule="auto"/>
        <w:ind w:right="-28"/>
        <w:rPr>
          <w:b/>
          <w:sz w:val="21"/>
          <w:szCs w:val="21"/>
        </w:rPr>
      </w:pPr>
      <w:r>
        <w:rPr>
          <w:b/>
          <w:sz w:val="21"/>
          <w:szCs w:val="21"/>
        </w:rPr>
        <w:t>H</w:t>
      </w:r>
      <w:r w:rsidR="005E0292" w:rsidRPr="005E0292">
        <w:rPr>
          <w:b/>
          <w:sz w:val="21"/>
          <w:szCs w:val="21"/>
        </w:rPr>
        <w:t>eißer Sommer</w:t>
      </w:r>
      <w:r>
        <w:rPr>
          <w:b/>
          <w:sz w:val="21"/>
          <w:szCs w:val="21"/>
        </w:rPr>
        <w:t xml:space="preserve"> beflügelt Outdoor-Sortimente, Weihnachtsgeschäft schwächer</w:t>
      </w:r>
    </w:p>
    <w:p w:rsidR="008529A8" w:rsidRDefault="008529A8" w:rsidP="008529A8">
      <w:pPr>
        <w:spacing w:before="120" w:line="360" w:lineRule="auto"/>
        <w:ind w:right="-28"/>
        <w:rPr>
          <w:sz w:val="21"/>
          <w:szCs w:val="21"/>
        </w:rPr>
      </w:pPr>
      <w:r>
        <w:rPr>
          <w:sz w:val="21"/>
          <w:szCs w:val="21"/>
        </w:rPr>
        <w:t>In weiten Teilen Deutschlands dominierten fünf Monate lang Hitze und Trockenheit d</w:t>
      </w:r>
      <w:r w:rsidR="00C077C8">
        <w:rPr>
          <w:sz w:val="21"/>
          <w:szCs w:val="21"/>
        </w:rPr>
        <w:t>ie</w:t>
      </w:r>
      <w:r>
        <w:rPr>
          <w:sz w:val="21"/>
          <w:szCs w:val="21"/>
        </w:rPr>
        <w:t xml:space="preserve"> Kunden</w:t>
      </w:r>
      <w:r w:rsidR="00C077C8">
        <w:rPr>
          <w:sz w:val="21"/>
          <w:szCs w:val="21"/>
        </w:rPr>
        <w:t>bedürfnisse</w:t>
      </w:r>
      <w:r>
        <w:rPr>
          <w:sz w:val="21"/>
          <w:szCs w:val="21"/>
        </w:rPr>
        <w:t xml:space="preserve">. Davon profitierten </w:t>
      </w:r>
      <w:r w:rsidR="002627AA">
        <w:rPr>
          <w:sz w:val="21"/>
          <w:szCs w:val="21"/>
        </w:rPr>
        <w:t xml:space="preserve">die Sortimente Gartenausstattung und </w:t>
      </w:r>
      <w:r w:rsidR="00C077C8">
        <w:rPr>
          <w:sz w:val="21"/>
          <w:szCs w:val="21"/>
        </w:rPr>
        <w:t>-</w:t>
      </w:r>
      <w:r w:rsidR="002627AA">
        <w:rPr>
          <w:sz w:val="21"/>
          <w:szCs w:val="21"/>
        </w:rPr>
        <w:t>dekorati</w:t>
      </w:r>
      <w:r w:rsidR="009B1EE2">
        <w:rPr>
          <w:sz w:val="21"/>
          <w:szCs w:val="21"/>
        </w:rPr>
        <w:t>on mit einem Umsatzplus von 4,2 </w:t>
      </w:r>
      <w:r w:rsidR="002627AA">
        <w:rPr>
          <w:sz w:val="21"/>
          <w:szCs w:val="21"/>
        </w:rPr>
        <w:t>Pro</w:t>
      </w:r>
      <w:r w:rsidR="009B1EE2">
        <w:rPr>
          <w:sz w:val="21"/>
          <w:szCs w:val="21"/>
        </w:rPr>
        <w:softHyphen/>
      </w:r>
      <w:r w:rsidR="002627AA">
        <w:rPr>
          <w:sz w:val="21"/>
          <w:szCs w:val="21"/>
        </w:rPr>
        <w:t>zent bei einem Marktvolumen von 2,1</w:t>
      </w:r>
      <w:r w:rsidR="00C077C8">
        <w:rPr>
          <w:sz w:val="21"/>
          <w:szCs w:val="21"/>
        </w:rPr>
        <w:t>4</w:t>
      </w:r>
      <w:r w:rsidR="002627AA">
        <w:rPr>
          <w:sz w:val="21"/>
          <w:szCs w:val="21"/>
        </w:rPr>
        <w:t xml:space="preserve"> Milliarden Euro und beflügelten </w:t>
      </w:r>
      <w:r w:rsidR="00C077C8">
        <w:rPr>
          <w:sz w:val="21"/>
          <w:szCs w:val="21"/>
        </w:rPr>
        <w:t xml:space="preserve">auch </w:t>
      </w:r>
      <w:r w:rsidR="002627AA">
        <w:rPr>
          <w:sz w:val="21"/>
          <w:szCs w:val="21"/>
        </w:rPr>
        <w:t xml:space="preserve">diesbezügliche Umsätze der Fachgeschäfte. Auf der anderen Seite sank hitzebedingt die </w:t>
      </w:r>
      <w:r w:rsidR="009B1EE2">
        <w:rPr>
          <w:sz w:val="21"/>
          <w:szCs w:val="21"/>
        </w:rPr>
        <w:t>Kunden</w:t>
      </w:r>
      <w:r w:rsidR="002627AA">
        <w:rPr>
          <w:sz w:val="21"/>
          <w:szCs w:val="21"/>
        </w:rPr>
        <w:t>frequenz in vielen Städten, was zu Umsatzausfällen führte, die in den übrigen Monaten des Jahres 2018 nicht ausgeglichen werden konnten.</w:t>
      </w:r>
    </w:p>
    <w:p w:rsidR="002627AA" w:rsidRDefault="002627AA" w:rsidP="002627AA">
      <w:pPr>
        <w:spacing w:before="120" w:line="360" w:lineRule="auto"/>
        <w:ind w:right="-28"/>
        <w:rPr>
          <w:sz w:val="21"/>
          <w:szCs w:val="21"/>
        </w:rPr>
      </w:pPr>
      <w:r>
        <w:rPr>
          <w:sz w:val="21"/>
          <w:szCs w:val="21"/>
        </w:rPr>
        <w:t xml:space="preserve">Das Weihnachtsgeschäft verlief uneinheitlich, vielfach enttäuschend. Auf der Suche nach den Ursachen fallen die Umsatzspitzen unmittelbar vor </w:t>
      </w:r>
      <w:r>
        <w:rPr>
          <w:sz w:val="21"/>
          <w:szCs w:val="21"/>
        </w:rPr>
        <w:lastRenderedPageBreak/>
        <w:t xml:space="preserve">der Adventszeit ins Auge: Black </w:t>
      </w:r>
      <w:proofErr w:type="spellStart"/>
      <w:r>
        <w:rPr>
          <w:sz w:val="21"/>
          <w:szCs w:val="21"/>
        </w:rPr>
        <w:t>Friday</w:t>
      </w:r>
      <w:proofErr w:type="spellEnd"/>
      <w:r>
        <w:rPr>
          <w:sz w:val="21"/>
          <w:szCs w:val="21"/>
        </w:rPr>
        <w:t xml:space="preserve"> und </w:t>
      </w:r>
      <w:proofErr w:type="spellStart"/>
      <w:r>
        <w:rPr>
          <w:sz w:val="21"/>
          <w:szCs w:val="21"/>
        </w:rPr>
        <w:t>Cyber</w:t>
      </w:r>
      <w:proofErr w:type="spellEnd"/>
      <w:r>
        <w:rPr>
          <w:sz w:val="21"/>
          <w:szCs w:val="21"/>
        </w:rPr>
        <w:t xml:space="preserve"> </w:t>
      </w:r>
      <w:proofErr w:type="spellStart"/>
      <w:r>
        <w:rPr>
          <w:sz w:val="21"/>
          <w:szCs w:val="21"/>
        </w:rPr>
        <w:t>Monday</w:t>
      </w:r>
      <w:proofErr w:type="spellEnd"/>
      <w:r>
        <w:rPr>
          <w:sz w:val="21"/>
          <w:szCs w:val="21"/>
        </w:rPr>
        <w:t xml:space="preserve">. Diese aus den USA nach Europa geschwappte, rabattgetriebene Umsatzwalze des </w:t>
      </w:r>
      <w:r w:rsidRPr="002627AA">
        <w:rPr>
          <w:sz w:val="21"/>
          <w:szCs w:val="21"/>
        </w:rPr>
        <w:t xml:space="preserve">Onlinehandels </w:t>
      </w:r>
      <w:r>
        <w:rPr>
          <w:sz w:val="21"/>
          <w:szCs w:val="21"/>
        </w:rPr>
        <w:t xml:space="preserve">zieht viel Kaufkraft und Weihnachtseinkäufe aus der Adventszeit ab. Ganze Einkaufsstraßen fühlen sich schon im November genötigt, ebenfalls mit hohen Rabatten Kunden zu locken. Die Spuren im </w:t>
      </w:r>
      <w:r w:rsidR="00186459">
        <w:rPr>
          <w:sz w:val="21"/>
          <w:szCs w:val="21"/>
        </w:rPr>
        <w:t xml:space="preserve">Weihnachtsgeschäft des </w:t>
      </w:r>
      <w:r>
        <w:rPr>
          <w:sz w:val="21"/>
          <w:szCs w:val="21"/>
        </w:rPr>
        <w:t>Einzelhandel</w:t>
      </w:r>
      <w:r w:rsidR="00186459">
        <w:rPr>
          <w:sz w:val="21"/>
          <w:szCs w:val="21"/>
        </w:rPr>
        <w:t>s</w:t>
      </w:r>
      <w:r>
        <w:rPr>
          <w:sz w:val="21"/>
          <w:szCs w:val="21"/>
        </w:rPr>
        <w:t xml:space="preserve"> sind nicht zu übersehen.</w:t>
      </w:r>
    </w:p>
    <w:p w:rsidR="008529A8" w:rsidRDefault="002627AA" w:rsidP="008529A8">
      <w:pPr>
        <w:spacing w:before="120" w:line="360" w:lineRule="auto"/>
        <w:ind w:right="-28"/>
        <w:rPr>
          <w:sz w:val="21"/>
          <w:szCs w:val="21"/>
        </w:rPr>
      </w:pPr>
      <w:r>
        <w:rPr>
          <w:sz w:val="21"/>
          <w:szCs w:val="21"/>
        </w:rPr>
        <w:t xml:space="preserve">Erschwerend kam in einigen Städten der Ausfall von verkaufsoffenen Adventssonntagen hinzu. </w:t>
      </w:r>
      <w:r w:rsidR="00186459">
        <w:rPr>
          <w:sz w:val="21"/>
          <w:szCs w:val="21"/>
        </w:rPr>
        <w:t>„</w:t>
      </w:r>
      <w:r>
        <w:rPr>
          <w:sz w:val="21"/>
          <w:szCs w:val="21"/>
        </w:rPr>
        <w:t xml:space="preserve">Die </w:t>
      </w:r>
      <w:r w:rsidR="000C43B5">
        <w:rPr>
          <w:sz w:val="21"/>
          <w:szCs w:val="21"/>
        </w:rPr>
        <w:t>Möglichkeit, an einem arbeitsfreien Tag mit der Familie einkaufen gehen zu können, hat eine große Bedeutung für überlegte Anschaffungen berufstätiger Menschen</w:t>
      </w:r>
      <w:r w:rsidR="00186459">
        <w:rPr>
          <w:sz w:val="21"/>
          <w:szCs w:val="21"/>
        </w:rPr>
        <w:t xml:space="preserve">,“ beobachtet van </w:t>
      </w:r>
      <w:proofErr w:type="spellStart"/>
      <w:r w:rsidR="00186459">
        <w:rPr>
          <w:sz w:val="21"/>
          <w:szCs w:val="21"/>
        </w:rPr>
        <w:t>Dorp</w:t>
      </w:r>
      <w:proofErr w:type="spellEnd"/>
      <w:r w:rsidR="00186459">
        <w:rPr>
          <w:sz w:val="21"/>
          <w:szCs w:val="21"/>
        </w:rPr>
        <w:t>, „d</w:t>
      </w:r>
      <w:r w:rsidR="000C43B5">
        <w:rPr>
          <w:sz w:val="21"/>
          <w:szCs w:val="21"/>
        </w:rPr>
        <w:t xml:space="preserve">ie </w:t>
      </w:r>
      <w:r w:rsidR="00186459">
        <w:rPr>
          <w:sz w:val="21"/>
          <w:szCs w:val="21"/>
        </w:rPr>
        <w:t>Blockade</w:t>
      </w:r>
      <w:r w:rsidR="000C43B5">
        <w:rPr>
          <w:sz w:val="21"/>
          <w:szCs w:val="21"/>
        </w:rPr>
        <w:t xml:space="preserve">politik von Kirchen und Gewerkschaften </w:t>
      </w:r>
      <w:r w:rsidR="00C077C8">
        <w:rPr>
          <w:sz w:val="21"/>
          <w:szCs w:val="21"/>
        </w:rPr>
        <w:t xml:space="preserve">spielt dem Onlinehandel in die Karten, </w:t>
      </w:r>
      <w:r w:rsidR="00186459">
        <w:rPr>
          <w:sz w:val="21"/>
          <w:szCs w:val="21"/>
        </w:rPr>
        <w:t xml:space="preserve">sie </w:t>
      </w:r>
      <w:r w:rsidR="00C077C8">
        <w:rPr>
          <w:sz w:val="21"/>
          <w:szCs w:val="21"/>
        </w:rPr>
        <w:t>benachteil</w:t>
      </w:r>
      <w:r w:rsidR="009B1EE2">
        <w:rPr>
          <w:sz w:val="21"/>
          <w:szCs w:val="21"/>
        </w:rPr>
        <w:t>ig</w:t>
      </w:r>
      <w:r w:rsidR="00C077C8">
        <w:rPr>
          <w:sz w:val="21"/>
          <w:szCs w:val="21"/>
        </w:rPr>
        <w:t>t den stationären Handel</w:t>
      </w:r>
      <w:r w:rsidR="000C43B5">
        <w:rPr>
          <w:sz w:val="21"/>
          <w:szCs w:val="21"/>
        </w:rPr>
        <w:t xml:space="preserve"> und führt die Innenstäd</w:t>
      </w:r>
      <w:r w:rsidR="00186459">
        <w:rPr>
          <w:sz w:val="21"/>
          <w:szCs w:val="21"/>
        </w:rPr>
        <w:t>te in immer größere Bedrängnis.“</w:t>
      </w:r>
    </w:p>
    <w:p w:rsidR="009B1EE2" w:rsidRDefault="009B1EE2" w:rsidP="008529A8">
      <w:pPr>
        <w:spacing w:before="120" w:line="360" w:lineRule="auto"/>
        <w:ind w:right="-28"/>
        <w:rPr>
          <w:sz w:val="21"/>
          <w:szCs w:val="21"/>
        </w:rPr>
      </w:pPr>
    </w:p>
    <w:p w:rsidR="00346BC7" w:rsidRPr="005C2923" w:rsidRDefault="00127F4A" w:rsidP="00E71F1F">
      <w:pPr>
        <w:spacing w:before="120" w:line="360" w:lineRule="auto"/>
        <w:ind w:right="-28"/>
        <w:rPr>
          <w:b/>
          <w:sz w:val="21"/>
          <w:szCs w:val="21"/>
        </w:rPr>
      </w:pPr>
      <w:r>
        <w:rPr>
          <w:b/>
          <w:sz w:val="21"/>
          <w:szCs w:val="21"/>
        </w:rPr>
        <w:t>Ausblick auf 2019</w:t>
      </w:r>
    </w:p>
    <w:p w:rsidR="00127F4A" w:rsidRDefault="00B73A91" w:rsidP="00FA6511">
      <w:pPr>
        <w:spacing w:before="120" w:line="360" w:lineRule="auto"/>
        <w:ind w:right="-28"/>
        <w:rPr>
          <w:sz w:val="21"/>
          <w:szCs w:val="21"/>
        </w:rPr>
      </w:pPr>
      <w:r>
        <w:rPr>
          <w:sz w:val="21"/>
          <w:szCs w:val="21"/>
        </w:rPr>
        <w:t xml:space="preserve">Die erwartete Abschwächung der Konjunktur dürfte sich angesichts der überproportionalen Tarifsteigerungen und </w:t>
      </w:r>
      <w:r w:rsidR="00C077C8">
        <w:rPr>
          <w:sz w:val="21"/>
          <w:szCs w:val="21"/>
        </w:rPr>
        <w:t xml:space="preserve">der positiven Arbeitsmarktlage </w:t>
      </w:r>
      <w:r>
        <w:rPr>
          <w:sz w:val="21"/>
          <w:szCs w:val="21"/>
        </w:rPr>
        <w:t>in diesem Jahr noch nicht auf den Konsum auswirken. Der Handels</w:t>
      </w:r>
      <w:r w:rsidR="00186459">
        <w:rPr>
          <w:sz w:val="21"/>
          <w:szCs w:val="21"/>
        </w:rPr>
        <w:softHyphen/>
      </w:r>
      <w:r>
        <w:rPr>
          <w:sz w:val="21"/>
          <w:szCs w:val="21"/>
        </w:rPr>
        <w:t>verband Deutschland erwartet eine Steigerung des Einzelhandels</w:t>
      </w:r>
      <w:r w:rsidR="00186459">
        <w:rPr>
          <w:sz w:val="21"/>
          <w:szCs w:val="21"/>
        </w:rPr>
        <w:softHyphen/>
      </w:r>
      <w:r>
        <w:rPr>
          <w:sz w:val="21"/>
          <w:szCs w:val="21"/>
        </w:rPr>
        <w:t xml:space="preserve">umsatzes von 2 Prozent. Insofern ist damit zu rechnen, dass auch der Handel mit GPK und Hausrat einen positiven Verlauf nimmt. Es hängt allerdings viel davon ab, auf welche Vertriebswege Hersteller ihren Fokus haben und ob sich Umsätze verlagern. </w:t>
      </w:r>
    </w:p>
    <w:p w:rsidR="00B73A91" w:rsidRDefault="00B73A91" w:rsidP="00FA6511">
      <w:pPr>
        <w:spacing w:before="120" w:line="360" w:lineRule="auto"/>
        <w:ind w:right="-28"/>
        <w:rPr>
          <w:sz w:val="21"/>
          <w:szCs w:val="21"/>
        </w:rPr>
      </w:pPr>
      <w:r>
        <w:rPr>
          <w:sz w:val="21"/>
          <w:szCs w:val="21"/>
        </w:rPr>
        <w:t>Es zeichnet sich ab, dass außerstädtische Standorte es schwerer haben werden, Kunden anzuziehen, Frequenz und Umsatz zu erhöhen. Davon profitieren Städte jedoch nur dann, wenn sie mit allen Verkehrsmitteln erreichbar sind, wenn sie ihren Bürgern attraktive Gesamtkonzepte bieten, die den Handel und seine Erfordernisse berücksichtige</w:t>
      </w:r>
      <w:r w:rsidR="00C077C8">
        <w:rPr>
          <w:sz w:val="21"/>
          <w:szCs w:val="21"/>
        </w:rPr>
        <w:t xml:space="preserve"> -  sich dem Handel</w:t>
      </w:r>
      <w:r>
        <w:rPr>
          <w:sz w:val="21"/>
          <w:szCs w:val="21"/>
        </w:rPr>
        <w:t xml:space="preserve"> die Bühne bietet, die er für seine Inszenierungen benötigt. Die offene Frage ist, wie sich der neugeschaffene Warenhauskonzern von Karstadt und Kaufhof konstituiert</w:t>
      </w:r>
      <w:r w:rsidR="00C077C8">
        <w:rPr>
          <w:sz w:val="21"/>
          <w:szCs w:val="21"/>
        </w:rPr>
        <w:t xml:space="preserve"> und welche Konsequenzen dies für die Innenstädte haben wird</w:t>
      </w:r>
    </w:p>
    <w:p w:rsidR="00B73A91" w:rsidRDefault="00B73A91" w:rsidP="00FA6511">
      <w:pPr>
        <w:spacing w:before="120" w:line="360" w:lineRule="auto"/>
        <w:ind w:right="-28"/>
        <w:rPr>
          <w:sz w:val="21"/>
          <w:szCs w:val="21"/>
        </w:rPr>
      </w:pPr>
      <w:r>
        <w:rPr>
          <w:sz w:val="21"/>
          <w:szCs w:val="21"/>
        </w:rPr>
        <w:t xml:space="preserve">Qualitative Impulse gibt das Jubiläum „100 Jahre Bauhaus“. Eine ganze Reihe von Kreationen für den gedeckten Tisch und die Wohnausstattung hat ihre Wurzeln </w:t>
      </w:r>
      <w:r w:rsidR="0003694A">
        <w:rPr>
          <w:sz w:val="21"/>
          <w:szCs w:val="21"/>
        </w:rPr>
        <w:t xml:space="preserve">im Bauhaus-Stil. Einige Serien und Artikel werden neu aufgelegt, andere stellen Weiterentwicklungen dar. Bei designorientierte Käufer wird das Jubiläumsjahr auf lebhaftes Interesse stoßen. </w:t>
      </w:r>
    </w:p>
    <w:p w:rsidR="00B73A91" w:rsidRDefault="00B73A91" w:rsidP="00FA6511">
      <w:pPr>
        <w:spacing w:before="120" w:line="360" w:lineRule="auto"/>
        <w:ind w:right="-28"/>
        <w:rPr>
          <w:sz w:val="21"/>
          <w:szCs w:val="21"/>
        </w:rPr>
      </w:pPr>
    </w:p>
    <w:p w:rsidR="00186459" w:rsidRDefault="00186459" w:rsidP="00FA6511">
      <w:pPr>
        <w:spacing w:before="120" w:line="360" w:lineRule="auto"/>
        <w:ind w:right="-28"/>
        <w:rPr>
          <w:sz w:val="21"/>
          <w:szCs w:val="21"/>
        </w:rPr>
      </w:pPr>
    </w:p>
    <w:p w:rsidR="0003694A" w:rsidRPr="0003694A" w:rsidRDefault="0003694A" w:rsidP="00FA6511">
      <w:pPr>
        <w:spacing w:before="120" w:line="360" w:lineRule="auto"/>
        <w:ind w:right="-28"/>
        <w:rPr>
          <w:b/>
          <w:sz w:val="21"/>
          <w:szCs w:val="21"/>
        </w:rPr>
      </w:pPr>
      <w:r w:rsidRPr="0003694A">
        <w:rPr>
          <w:b/>
          <w:sz w:val="21"/>
          <w:szCs w:val="21"/>
        </w:rPr>
        <w:t xml:space="preserve">Messe „Ambiente“ sendet starke Signale </w:t>
      </w:r>
    </w:p>
    <w:p w:rsidR="0003694A" w:rsidRDefault="0003694A" w:rsidP="00FA6511">
      <w:pPr>
        <w:spacing w:before="120" w:line="360" w:lineRule="auto"/>
        <w:ind w:right="-28"/>
        <w:rPr>
          <w:sz w:val="21"/>
          <w:szCs w:val="21"/>
        </w:rPr>
      </w:pPr>
      <w:r>
        <w:rPr>
          <w:sz w:val="21"/>
          <w:szCs w:val="21"/>
        </w:rPr>
        <w:t>Die internationale Konsumgütermesse „Ambiente“ bietet stets vielfältige Neuheiten und stellt ihrerseits attraktive Sonderschauen zusammen. Hervorzuheben ist der „German Design Award“, das Partnerland Indien und die Verkündung des Partnerlandes 2020 sowie erstmals „</w:t>
      </w:r>
      <w:proofErr w:type="spellStart"/>
      <w:r>
        <w:rPr>
          <w:sz w:val="21"/>
          <w:szCs w:val="21"/>
        </w:rPr>
        <w:t>Dineus</w:t>
      </w:r>
      <w:proofErr w:type="spellEnd"/>
      <w:r>
        <w:rPr>
          <w:sz w:val="21"/>
          <w:szCs w:val="21"/>
        </w:rPr>
        <w:t xml:space="preserve"> – Der große Preis der Tischkultur“, durchgeführt von renommierten </w:t>
      </w:r>
      <w:proofErr w:type="spellStart"/>
      <w:r>
        <w:rPr>
          <w:sz w:val="21"/>
          <w:szCs w:val="21"/>
        </w:rPr>
        <w:t>Callwey</w:t>
      </w:r>
      <w:proofErr w:type="spellEnd"/>
      <w:r>
        <w:rPr>
          <w:sz w:val="21"/>
          <w:szCs w:val="21"/>
        </w:rPr>
        <w:t>-Verlag, der Fachzeitschrift „P &amp; G“, der Messe Frankfurt und dem Handelsverband Koch- und Tischkultur in einer exklusiven Preisverleihung am Freitag, 8. Februar 2019.</w:t>
      </w:r>
    </w:p>
    <w:p w:rsidR="00346BC7" w:rsidRPr="005C2923" w:rsidRDefault="00346BC7" w:rsidP="00CD670C">
      <w:pPr>
        <w:spacing w:before="120" w:line="240" w:lineRule="exact"/>
        <w:ind w:right="-28"/>
        <w:rPr>
          <w:sz w:val="18"/>
          <w:szCs w:val="18"/>
        </w:rPr>
      </w:pPr>
      <w:r w:rsidRPr="005C2923">
        <w:rPr>
          <w:sz w:val="18"/>
          <w:szCs w:val="18"/>
        </w:rPr>
        <w:t>Der Handelsverband Koch- und Tischkultur (GPK) ist die berufspolitische und fachliche Interessenvertretung von über 4.000 Fachgeschäften mit Tisch-, Küchen- und Wohnaccessoires sowie Geschenkartikeln. Rund 20.000 Menschen sind in Voll- und Teilzeit beschäftigt. Der Branchenumsatz beläuft sich auf 6,29 Mrd. Euro. Der Bundesverband GPK ist dem Handelsverband Deutschland (HDE) angeschlossen.</w:t>
      </w:r>
    </w:p>
    <w:sectPr w:rsidR="00346BC7" w:rsidRPr="005C2923" w:rsidSect="00967899">
      <w:headerReference w:type="default" r:id="rId7"/>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96" w:rsidRDefault="00ED6B96">
      <w:r>
        <w:separator/>
      </w:r>
    </w:p>
  </w:endnote>
  <w:endnote w:type="continuationSeparator" w:id="0">
    <w:p w:rsidR="00ED6B96" w:rsidRDefault="00ED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96" w:rsidRDefault="00ED6B96">
      <w:r>
        <w:separator/>
      </w:r>
    </w:p>
  </w:footnote>
  <w:footnote w:type="continuationSeparator" w:id="0">
    <w:p w:rsidR="00ED6B96" w:rsidRDefault="00ED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6" w:rsidRDefault="00ED6B96">
    <w:pPr>
      <w:pStyle w:val="Kopfzeile"/>
      <w:jc w:val="center"/>
    </w:pPr>
    <w:r>
      <w:fldChar w:fldCharType="begin"/>
    </w:r>
    <w:r>
      <w:instrText xml:space="preserve"> PAGE   \* MERGEFORMAT </w:instrText>
    </w:r>
    <w:r>
      <w:fldChar w:fldCharType="separate"/>
    </w:r>
    <w:r w:rsidR="00186459">
      <w:rPr>
        <w:noProof/>
      </w:rPr>
      <w:t>2</w:t>
    </w:r>
    <w:r>
      <w:rPr>
        <w:noProof/>
      </w:rPr>
      <w:fldChar w:fldCharType="end"/>
    </w:r>
  </w:p>
  <w:p w:rsidR="00ED6B96" w:rsidRDefault="00ED6B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1F"/>
    <w:rsid w:val="000006F7"/>
    <w:rsid w:val="00000870"/>
    <w:rsid w:val="0000493A"/>
    <w:rsid w:val="00006FE8"/>
    <w:rsid w:val="00015E3B"/>
    <w:rsid w:val="00016E7B"/>
    <w:rsid w:val="000179B5"/>
    <w:rsid w:val="000207AD"/>
    <w:rsid w:val="00030491"/>
    <w:rsid w:val="00034616"/>
    <w:rsid w:val="0003694A"/>
    <w:rsid w:val="0004097E"/>
    <w:rsid w:val="00041653"/>
    <w:rsid w:val="00045A0C"/>
    <w:rsid w:val="000501C2"/>
    <w:rsid w:val="00053D39"/>
    <w:rsid w:val="00055D86"/>
    <w:rsid w:val="00060B2E"/>
    <w:rsid w:val="00064C05"/>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1A87"/>
    <w:rsid w:val="000B7400"/>
    <w:rsid w:val="000B7B1A"/>
    <w:rsid w:val="000C29B9"/>
    <w:rsid w:val="000C43B5"/>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17778"/>
    <w:rsid w:val="001268E1"/>
    <w:rsid w:val="00127F4A"/>
    <w:rsid w:val="00131DE8"/>
    <w:rsid w:val="00135A57"/>
    <w:rsid w:val="00137203"/>
    <w:rsid w:val="0014063A"/>
    <w:rsid w:val="0014229D"/>
    <w:rsid w:val="00142F5A"/>
    <w:rsid w:val="00143742"/>
    <w:rsid w:val="001457D0"/>
    <w:rsid w:val="00164E76"/>
    <w:rsid w:val="00166C96"/>
    <w:rsid w:val="001753F3"/>
    <w:rsid w:val="00180665"/>
    <w:rsid w:val="00181C99"/>
    <w:rsid w:val="00186038"/>
    <w:rsid w:val="00186459"/>
    <w:rsid w:val="001871EA"/>
    <w:rsid w:val="001B2029"/>
    <w:rsid w:val="001B2D9C"/>
    <w:rsid w:val="001B3813"/>
    <w:rsid w:val="001B4FFD"/>
    <w:rsid w:val="001C6D81"/>
    <w:rsid w:val="001D18A0"/>
    <w:rsid w:val="001E1B57"/>
    <w:rsid w:val="001E5390"/>
    <w:rsid w:val="001E5814"/>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092D"/>
    <w:rsid w:val="00241DA4"/>
    <w:rsid w:val="002461C6"/>
    <w:rsid w:val="00252620"/>
    <w:rsid w:val="00254B26"/>
    <w:rsid w:val="002552D6"/>
    <w:rsid w:val="00255D82"/>
    <w:rsid w:val="00260614"/>
    <w:rsid w:val="002627AA"/>
    <w:rsid w:val="002628F0"/>
    <w:rsid w:val="0026303F"/>
    <w:rsid w:val="00267650"/>
    <w:rsid w:val="00267F79"/>
    <w:rsid w:val="00280EFE"/>
    <w:rsid w:val="0028401A"/>
    <w:rsid w:val="00292DAB"/>
    <w:rsid w:val="002A74B3"/>
    <w:rsid w:val="002B136E"/>
    <w:rsid w:val="002B286D"/>
    <w:rsid w:val="002B4230"/>
    <w:rsid w:val="002B69F4"/>
    <w:rsid w:val="002B73B6"/>
    <w:rsid w:val="002C40A1"/>
    <w:rsid w:val="002C6806"/>
    <w:rsid w:val="002C7D5D"/>
    <w:rsid w:val="002D05DD"/>
    <w:rsid w:val="002D061D"/>
    <w:rsid w:val="002D25E1"/>
    <w:rsid w:val="002D279B"/>
    <w:rsid w:val="002D3E25"/>
    <w:rsid w:val="002E4883"/>
    <w:rsid w:val="002F10A6"/>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46BC7"/>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0D2E"/>
    <w:rsid w:val="003B4912"/>
    <w:rsid w:val="003C23F5"/>
    <w:rsid w:val="003C4D42"/>
    <w:rsid w:val="003D1261"/>
    <w:rsid w:val="003E1332"/>
    <w:rsid w:val="003E646E"/>
    <w:rsid w:val="003E66A6"/>
    <w:rsid w:val="003E77B3"/>
    <w:rsid w:val="003F2B6C"/>
    <w:rsid w:val="003F42A1"/>
    <w:rsid w:val="003F5AB2"/>
    <w:rsid w:val="004012B8"/>
    <w:rsid w:val="00402887"/>
    <w:rsid w:val="0040475B"/>
    <w:rsid w:val="004052EC"/>
    <w:rsid w:val="004108E1"/>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0F42"/>
    <w:rsid w:val="004A2AAD"/>
    <w:rsid w:val="004A3EE4"/>
    <w:rsid w:val="004A67F5"/>
    <w:rsid w:val="004C384A"/>
    <w:rsid w:val="004C74ED"/>
    <w:rsid w:val="004D3395"/>
    <w:rsid w:val="004E11A3"/>
    <w:rsid w:val="004E1373"/>
    <w:rsid w:val="004E27F0"/>
    <w:rsid w:val="004E5031"/>
    <w:rsid w:val="004F01D1"/>
    <w:rsid w:val="004F1414"/>
    <w:rsid w:val="004F1EA0"/>
    <w:rsid w:val="004F5EE6"/>
    <w:rsid w:val="005006BC"/>
    <w:rsid w:val="0050150D"/>
    <w:rsid w:val="00502B48"/>
    <w:rsid w:val="00504D87"/>
    <w:rsid w:val="0050624E"/>
    <w:rsid w:val="005102FA"/>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3FF"/>
    <w:rsid w:val="0057057C"/>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923"/>
    <w:rsid w:val="005C2E3F"/>
    <w:rsid w:val="005C3B6B"/>
    <w:rsid w:val="005D01B9"/>
    <w:rsid w:val="005D205E"/>
    <w:rsid w:val="005D2B1A"/>
    <w:rsid w:val="005E0292"/>
    <w:rsid w:val="005E159E"/>
    <w:rsid w:val="005E35A1"/>
    <w:rsid w:val="005E3B53"/>
    <w:rsid w:val="005E5574"/>
    <w:rsid w:val="005F1D2D"/>
    <w:rsid w:val="005F6912"/>
    <w:rsid w:val="005F73B6"/>
    <w:rsid w:val="00601F69"/>
    <w:rsid w:val="006021AD"/>
    <w:rsid w:val="00604720"/>
    <w:rsid w:val="00604E85"/>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15BA"/>
    <w:rsid w:val="0068557A"/>
    <w:rsid w:val="00694144"/>
    <w:rsid w:val="006945F1"/>
    <w:rsid w:val="00695732"/>
    <w:rsid w:val="00696968"/>
    <w:rsid w:val="006A2048"/>
    <w:rsid w:val="006A4775"/>
    <w:rsid w:val="006A7429"/>
    <w:rsid w:val="006A776E"/>
    <w:rsid w:val="006B42AD"/>
    <w:rsid w:val="006C227F"/>
    <w:rsid w:val="006C3D40"/>
    <w:rsid w:val="006C6217"/>
    <w:rsid w:val="006D09A6"/>
    <w:rsid w:val="006E516E"/>
    <w:rsid w:val="006F1C86"/>
    <w:rsid w:val="006F28B4"/>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1A34"/>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1716E"/>
    <w:rsid w:val="008210B3"/>
    <w:rsid w:val="00823D14"/>
    <w:rsid w:val="00827F06"/>
    <w:rsid w:val="00830D70"/>
    <w:rsid w:val="00830E1A"/>
    <w:rsid w:val="00831A08"/>
    <w:rsid w:val="00852040"/>
    <w:rsid w:val="008529A8"/>
    <w:rsid w:val="00861777"/>
    <w:rsid w:val="00866C31"/>
    <w:rsid w:val="00884897"/>
    <w:rsid w:val="008860A7"/>
    <w:rsid w:val="00893CCD"/>
    <w:rsid w:val="00895CBC"/>
    <w:rsid w:val="008A2856"/>
    <w:rsid w:val="008A5962"/>
    <w:rsid w:val="008A7C2B"/>
    <w:rsid w:val="008B09A0"/>
    <w:rsid w:val="008B5708"/>
    <w:rsid w:val="008B6243"/>
    <w:rsid w:val="008B6CF7"/>
    <w:rsid w:val="008C07D0"/>
    <w:rsid w:val="008C196C"/>
    <w:rsid w:val="008C3097"/>
    <w:rsid w:val="008C3449"/>
    <w:rsid w:val="008D73C0"/>
    <w:rsid w:val="008D763B"/>
    <w:rsid w:val="008D7CC2"/>
    <w:rsid w:val="008E4268"/>
    <w:rsid w:val="008E4D91"/>
    <w:rsid w:val="008F1185"/>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52DA2"/>
    <w:rsid w:val="00961213"/>
    <w:rsid w:val="00961769"/>
    <w:rsid w:val="00964E7D"/>
    <w:rsid w:val="00967899"/>
    <w:rsid w:val="009713CF"/>
    <w:rsid w:val="00971EC6"/>
    <w:rsid w:val="0097228B"/>
    <w:rsid w:val="00987C71"/>
    <w:rsid w:val="00991DEF"/>
    <w:rsid w:val="00992D6B"/>
    <w:rsid w:val="009A37DE"/>
    <w:rsid w:val="009A7A75"/>
    <w:rsid w:val="009B1EE2"/>
    <w:rsid w:val="009B3610"/>
    <w:rsid w:val="009B7A64"/>
    <w:rsid w:val="009C1F24"/>
    <w:rsid w:val="009C390E"/>
    <w:rsid w:val="009C4D89"/>
    <w:rsid w:val="009C5D89"/>
    <w:rsid w:val="009C6C96"/>
    <w:rsid w:val="009D68EE"/>
    <w:rsid w:val="009D6B3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473"/>
    <w:rsid w:val="00A667C7"/>
    <w:rsid w:val="00A669BA"/>
    <w:rsid w:val="00A7009A"/>
    <w:rsid w:val="00A71848"/>
    <w:rsid w:val="00A804F0"/>
    <w:rsid w:val="00A830F5"/>
    <w:rsid w:val="00A908F1"/>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E6DC4"/>
    <w:rsid w:val="00AF1B46"/>
    <w:rsid w:val="00AF400C"/>
    <w:rsid w:val="00AF5FD9"/>
    <w:rsid w:val="00AF61FF"/>
    <w:rsid w:val="00B001B1"/>
    <w:rsid w:val="00B0044D"/>
    <w:rsid w:val="00B03654"/>
    <w:rsid w:val="00B14D68"/>
    <w:rsid w:val="00B17C85"/>
    <w:rsid w:val="00B212AA"/>
    <w:rsid w:val="00B240B2"/>
    <w:rsid w:val="00B24362"/>
    <w:rsid w:val="00B256C7"/>
    <w:rsid w:val="00B25AF8"/>
    <w:rsid w:val="00B25DA7"/>
    <w:rsid w:val="00B27C49"/>
    <w:rsid w:val="00B32E35"/>
    <w:rsid w:val="00B32F3D"/>
    <w:rsid w:val="00B37F0C"/>
    <w:rsid w:val="00B51F0C"/>
    <w:rsid w:val="00B55CDA"/>
    <w:rsid w:val="00B64909"/>
    <w:rsid w:val="00B6779F"/>
    <w:rsid w:val="00B71BBA"/>
    <w:rsid w:val="00B73A91"/>
    <w:rsid w:val="00B73CED"/>
    <w:rsid w:val="00B74C67"/>
    <w:rsid w:val="00B77989"/>
    <w:rsid w:val="00B864FE"/>
    <w:rsid w:val="00B92B11"/>
    <w:rsid w:val="00B94EB9"/>
    <w:rsid w:val="00B95089"/>
    <w:rsid w:val="00B95365"/>
    <w:rsid w:val="00B9546E"/>
    <w:rsid w:val="00BA53BA"/>
    <w:rsid w:val="00BA6AD6"/>
    <w:rsid w:val="00BB0205"/>
    <w:rsid w:val="00BB2907"/>
    <w:rsid w:val="00BB3456"/>
    <w:rsid w:val="00BB4E89"/>
    <w:rsid w:val="00BB5623"/>
    <w:rsid w:val="00BB7F9A"/>
    <w:rsid w:val="00BC0614"/>
    <w:rsid w:val="00BC3231"/>
    <w:rsid w:val="00BC6312"/>
    <w:rsid w:val="00BC69A9"/>
    <w:rsid w:val="00BC7F61"/>
    <w:rsid w:val="00BD0F30"/>
    <w:rsid w:val="00BD4943"/>
    <w:rsid w:val="00BD6BE4"/>
    <w:rsid w:val="00BE2133"/>
    <w:rsid w:val="00BF037F"/>
    <w:rsid w:val="00BF356D"/>
    <w:rsid w:val="00BF42D4"/>
    <w:rsid w:val="00BF7C00"/>
    <w:rsid w:val="00C038D7"/>
    <w:rsid w:val="00C068A7"/>
    <w:rsid w:val="00C077C8"/>
    <w:rsid w:val="00C11A7A"/>
    <w:rsid w:val="00C158AA"/>
    <w:rsid w:val="00C21359"/>
    <w:rsid w:val="00C24AF8"/>
    <w:rsid w:val="00C27088"/>
    <w:rsid w:val="00C2731C"/>
    <w:rsid w:val="00C31CCF"/>
    <w:rsid w:val="00C31E71"/>
    <w:rsid w:val="00C35AFF"/>
    <w:rsid w:val="00C474D6"/>
    <w:rsid w:val="00C552F6"/>
    <w:rsid w:val="00C55978"/>
    <w:rsid w:val="00C56063"/>
    <w:rsid w:val="00C611AF"/>
    <w:rsid w:val="00C71005"/>
    <w:rsid w:val="00C758CC"/>
    <w:rsid w:val="00C77ED5"/>
    <w:rsid w:val="00C917E8"/>
    <w:rsid w:val="00C92D0D"/>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473"/>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1159"/>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05F1C"/>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0109"/>
    <w:rsid w:val="00E71F1F"/>
    <w:rsid w:val="00E745F2"/>
    <w:rsid w:val="00E773D4"/>
    <w:rsid w:val="00E77DB6"/>
    <w:rsid w:val="00E815D3"/>
    <w:rsid w:val="00E8187F"/>
    <w:rsid w:val="00E86DE1"/>
    <w:rsid w:val="00E949B5"/>
    <w:rsid w:val="00EA6BBE"/>
    <w:rsid w:val="00EB2E79"/>
    <w:rsid w:val="00EB56E0"/>
    <w:rsid w:val="00EC2282"/>
    <w:rsid w:val="00EC2DC9"/>
    <w:rsid w:val="00EC4AE6"/>
    <w:rsid w:val="00EC5C8E"/>
    <w:rsid w:val="00ED6B96"/>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1DDF"/>
    <w:rsid w:val="00F7273B"/>
    <w:rsid w:val="00F733EA"/>
    <w:rsid w:val="00F73569"/>
    <w:rsid w:val="00F81D41"/>
    <w:rsid w:val="00F85AC7"/>
    <w:rsid w:val="00F974B0"/>
    <w:rsid w:val="00FA036E"/>
    <w:rsid w:val="00FA6511"/>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2900F"/>
  <w15:docId w15:val="{66E872D1-8E72-4EEF-80CE-AD574157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F42D4"/>
    <w:rPr>
      <w:sz w:val="22"/>
    </w:rPr>
  </w:style>
  <w:style w:type="character" w:customStyle="1" w:styleId="TextkrperZchn">
    <w:name w:val="Textkörper Zchn"/>
    <w:basedOn w:val="Absatz-Standardschriftart"/>
    <w:link w:val="Textkrper"/>
    <w:uiPriority w:val="99"/>
    <w:semiHidden/>
    <w:rsid w:val="004E7FA6"/>
    <w:rPr>
      <w:rFonts w:ascii="Arial" w:hAnsi="Arial" w:cs="Arial"/>
      <w:sz w:val="20"/>
      <w:szCs w:val="20"/>
    </w:rPr>
  </w:style>
  <w:style w:type="paragraph" w:styleId="Kopfzeile">
    <w:name w:val="header"/>
    <w:basedOn w:val="Standard"/>
    <w:link w:val="KopfzeileZchn"/>
    <w:rsid w:val="00BF42D4"/>
    <w:pPr>
      <w:tabs>
        <w:tab w:val="center" w:pos="4536"/>
        <w:tab w:val="right" w:pos="9072"/>
      </w:tabs>
    </w:pPr>
  </w:style>
  <w:style w:type="character" w:customStyle="1" w:styleId="KopfzeileZchn">
    <w:name w:val="Kopfzeile Zchn"/>
    <w:basedOn w:val="Absatz-Standardschriftart"/>
    <w:link w:val="Kopfzeile"/>
    <w:uiPriority w:val="99"/>
    <w:locked/>
    <w:rsid w:val="00CC2F30"/>
    <w:rPr>
      <w:rFonts w:ascii="Arial" w:hAnsi="Arial" w:cs="Arial"/>
    </w:rPr>
  </w:style>
  <w:style w:type="paragraph" w:styleId="Fuzeile">
    <w:name w:val="footer"/>
    <w:basedOn w:val="Standard"/>
    <w:link w:val="FuzeileZchn"/>
    <w:uiPriority w:val="99"/>
    <w:rsid w:val="00BF42D4"/>
    <w:pPr>
      <w:tabs>
        <w:tab w:val="center" w:pos="4536"/>
        <w:tab w:val="right" w:pos="9072"/>
      </w:tabs>
    </w:pPr>
  </w:style>
  <w:style w:type="character" w:customStyle="1" w:styleId="FuzeileZchn">
    <w:name w:val="Fußzeile Zchn"/>
    <w:basedOn w:val="Absatz-Standardschriftart"/>
    <w:link w:val="Fuzeile"/>
    <w:uiPriority w:val="99"/>
    <w:semiHidden/>
    <w:rsid w:val="004E7FA6"/>
    <w:rPr>
      <w:rFonts w:ascii="Arial" w:hAnsi="Arial" w:cs="Arial"/>
      <w:sz w:val="20"/>
      <w:szCs w:val="20"/>
    </w:rPr>
  </w:style>
  <w:style w:type="character" w:styleId="Seitenzahl">
    <w:name w:val="page number"/>
    <w:basedOn w:val="Absatz-Standardschriftart"/>
    <w:uiPriority w:val="99"/>
    <w:rsid w:val="00BF42D4"/>
    <w:rPr>
      <w:rFonts w:cs="Times New Roman"/>
    </w:rPr>
  </w:style>
  <w:style w:type="table" w:styleId="Tabellenraster">
    <w:name w:val="Table Grid"/>
    <w:basedOn w:val="NormaleTabelle"/>
    <w:uiPriority w:val="99"/>
    <w:rsid w:val="00B32F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F602B6"/>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F602B6"/>
    <w:rPr>
      <w:rFonts w:ascii="Tahoma" w:hAnsi="Tahoma" w:cs="Tahoma"/>
      <w:sz w:val="16"/>
      <w:szCs w:val="16"/>
    </w:rPr>
  </w:style>
  <w:style w:type="character" w:styleId="Platzhaltertext">
    <w:name w:val="Placeholder Text"/>
    <w:basedOn w:val="Absatz-Standardschriftart"/>
    <w:uiPriority w:val="99"/>
    <w:semiHidden/>
    <w:rsid w:val="00B6779F"/>
    <w:rPr>
      <w:rFonts w:cs="Times New Roman"/>
      <w:color w:val="808080"/>
    </w:rPr>
  </w:style>
  <w:style w:type="paragraph" w:styleId="berarbeitung">
    <w:name w:val="Revision"/>
    <w:hidden/>
    <w:uiPriority w:val="99"/>
    <w:semiHidden/>
    <w:rsid w:val="00A71848"/>
    <w:rPr>
      <w:rFonts w:ascii="Arial" w:hAnsi="Arial" w:cs="Arial"/>
      <w:sz w:val="20"/>
      <w:szCs w:val="20"/>
    </w:rPr>
  </w:style>
  <w:style w:type="paragraph" w:styleId="Beschriftung">
    <w:name w:val="caption"/>
    <w:basedOn w:val="Standard"/>
    <w:next w:val="Standard"/>
    <w:uiPriority w:val="99"/>
    <w:qFormat/>
    <w:rsid w:val="000F2096"/>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970796">
      <w:marLeft w:val="0"/>
      <w:marRight w:val="0"/>
      <w:marTop w:val="0"/>
      <w:marBottom w:val="0"/>
      <w:divBdr>
        <w:top w:val="none" w:sz="0" w:space="0" w:color="auto"/>
        <w:left w:val="none" w:sz="0" w:space="0" w:color="auto"/>
        <w:bottom w:val="none" w:sz="0" w:space="0" w:color="auto"/>
        <w:right w:val="none" w:sz="0" w:space="0" w:color="auto"/>
      </w:divBdr>
    </w:div>
    <w:div w:id="1752970797">
      <w:marLeft w:val="0"/>
      <w:marRight w:val="0"/>
      <w:marTop w:val="0"/>
      <w:marBottom w:val="0"/>
      <w:divBdr>
        <w:top w:val="none" w:sz="0" w:space="0" w:color="auto"/>
        <w:left w:val="none" w:sz="0" w:space="0" w:color="auto"/>
        <w:bottom w:val="none" w:sz="0" w:space="0" w:color="auto"/>
        <w:right w:val="none" w:sz="0" w:space="0" w:color="auto"/>
      </w:divBdr>
    </w:div>
    <w:div w:id="1752970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Pressemeldung.dotm</Template>
  <TotalTime>0</TotalTime>
  <Pages>5</Pages>
  <Words>1259</Words>
  <Characters>8612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subject/>
  <dc:creator>cklitzsch</dc:creator>
  <cp:keywords/>
  <dc:description/>
  <cp:lastModifiedBy>Thomas Grothkopp</cp:lastModifiedBy>
  <cp:revision>4</cp:revision>
  <cp:lastPrinted>2018-02-08T12:34:00Z</cp:lastPrinted>
  <dcterms:created xsi:type="dcterms:W3CDTF">2019-02-05T12:33:00Z</dcterms:created>
  <dcterms:modified xsi:type="dcterms:W3CDTF">2019-02-07T14:42:00Z</dcterms:modified>
</cp:coreProperties>
</file>